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Универсальный шаблон договора партнёрской программы</w:t>
      </w:r>
    </w:p>
    <w:p>
      <w:pPr>
        <w:spacing w:after="100" w:line="247" w:lineRule="auto"/>
      </w:pPr>
      <w:r>
        <w:rPr>
          <w:sz w:val="24"/>
        </w:rPr>
        <w:t>Рабочий проект для юриста компании</w:t>
      </w:r>
    </w:p>
    <w:p>
      <w:pPr>
        <w:spacing w:after="100" w:line="247" w:lineRule="auto"/>
      </w:pPr>
      <w:r>
        <w:t>Заполните реквизиты и условия программы, выберите применимые варианты и согласуйте текст. Поля для заполнения выделены жёлтым. Инструкции и редакторское приложение не входят в публикуемую оферту.</w:t>
      </w:r>
    </w:p>
    <w:p>
      <w:pPr>
        <w:pStyle w:val="Heading1"/>
      </w:pPr>
      <w:r>
        <w:t>Инструкция составителю</w:t>
      </w:r>
    </w:p>
    <w:p>
      <w:pPr>
        <w:spacing w:after="100" w:line="247" w:lineRule="auto"/>
      </w:pPr>
      <w:r>
        <w:t xml:space="preserve">Шаблон предназначен для услуг по привлечению клиентов по российскому праву. Порядок заполнения и примеры — в </w:t>
      </w:r>
      <w:r>
        <w:t>статье для юристов</w:t>
      </w:r>
      <w:r>
        <w:t xml:space="preserve">. Проверка полноты — в </w:t>
      </w:r>
      <w:r>
        <w:t>карте покрытия и чек-листе</w:t>
      </w:r>
      <w:r>
        <w:t>. Текущая версия — 0.3.</w:t>
      </w:r>
    </w:p>
    <w:p>
      <w:pPr>
        <w:spacing w:after="100" w:line="247" w:lineRule="auto"/>
      </w:pPr>
      <w:r>
        <w:t>Шаблон предназначен для оферт компаний с расчётами через RevRoute. Он не заменяет действующие документы автоматически; переход на новую редакцию оформляется отдельно.</w:t>
      </w:r>
    </w:p>
    <w:p>
      <w:pPr>
        <w:spacing w:after="100" w:line="247" w:lineRule="auto"/>
      </w:pPr>
      <w:r>
        <w:t>Сначала определите услугу, проверяемый результат, за который начисляется вознаграждение, должника и доказательства исполнения. Базовая конструкция уже выбрана: оферта об оказании услуг по привлечению клиентов, акцепт отправкой формы с согласием, отдельный допуск к работе, расчёты через RevRoute по нетто-модели. Затем заполните параметры в RevRoute и применимые модули. Конкретные ставки, суммы, договорные сроки и пороги в постоянный текст не переносятся. Они становятся частью договора через доступную и сохраняемую редакцию Условий программы.</w:t>
      </w:r>
    </w:p>
    <w:p>
      <w:pPr>
        <w:spacing w:after="100" w:line="247" w:lineRule="auto"/>
      </w:pPr>
      <w:r>
        <w:t xml:space="preserve">Перед выпуском удалите эту инструкцию, редакторские подсказки в цитатах, редакторское приложение, историю подготовки и невыбранные альтернативы. Форму подтверждения используйте отдельно в процессе заключения. Заполните все </w:t>
      </w:r>
      <w:r>
        <w:t>[[TBD: …]]</w:t>
      </w:r>
      <w:r>
        <w:t>. Для каждого выбора ниже оставьте ровно один вариант, кроме совместимых категорий участников и обеспеченных путей передачи данных. Нумерацию основных разделов сохраните для сверки со статьёй.</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3888"/>
        <w:gridCol w:w="4320"/>
      </w:tblGrid>
      <w:tr>
        <w:trPr>
          <w:cantSplit/>
          <w:tblHeader/>
        </w:trPr>
        <w:tc>
          <w:tcPr>
            <w:tcW w:type="dxa" w:w="1872"/>
            <w:vAlign w:val="center"/>
            <w:tcMar>
              <w:top w:w="70" w:type="dxa"/>
              <w:bottom w:w="70" w:type="dxa"/>
              <w:left w:w="100" w:type="dxa"/>
              <w:right w:w="100" w:type="dxa"/>
            </w:tcMar>
            <w:shd w:fill="E5EDF1"/>
          </w:tcPr>
          <w:p>
            <w:pPr>
              <w:keepNext/>
              <w:spacing w:after="0" w:line="250" w:lineRule="auto"/>
            </w:pPr>
            <w:r>
              <w:rPr>
                <w:b/>
                <w:sz w:val="20"/>
              </w:rPr>
              <w:t>Решение</w:t>
            </w:r>
          </w:p>
        </w:tc>
        <w:tc>
          <w:tcPr>
            <w:tcW w:type="dxa" w:w="3888"/>
            <w:vAlign w:val="center"/>
            <w:tcMar>
              <w:top w:w="70" w:type="dxa"/>
              <w:bottom w:w="70" w:type="dxa"/>
              <w:left w:w="100" w:type="dxa"/>
              <w:right w:w="100" w:type="dxa"/>
            </w:tcMar>
            <w:shd w:fill="E5EDF1"/>
          </w:tcPr>
          <w:p>
            <w:pPr>
              <w:keepNext/>
              <w:spacing w:after="0" w:line="250" w:lineRule="auto"/>
            </w:pPr>
            <w:r>
              <w:rPr>
                <w:b/>
                <w:sz w:val="20"/>
              </w:rPr>
              <w:t>Что оставить</w:t>
            </w:r>
          </w:p>
        </w:tc>
        <w:tc>
          <w:tcPr>
            <w:tcW w:type="dxa" w:w="4320"/>
            <w:vAlign w:val="center"/>
            <w:tcMar>
              <w:top w:w="70" w:type="dxa"/>
              <w:bottom w:w="70" w:type="dxa"/>
              <w:left w:w="100" w:type="dxa"/>
              <w:right w:w="100" w:type="dxa"/>
            </w:tcMar>
            <w:shd w:fill="E5EDF1"/>
          </w:tcPr>
          <w:p>
            <w:pPr>
              <w:keepNext/>
              <w:spacing w:after="0" w:line="250" w:lineRule="auto"/>
            </w:pPr>
            <w:r>
              <w:rPr>
                <w:b/>
                <w:sz w:val="20"/>
              </w:rPr>
              <w:t>Что проверить</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Заключение договора, §2</w:t>
            </w:r>
          </w:p>
        </w:tc>
        <w:tc>
          <w:tcPr>
            <w:tcW w:type="dxa" w:w="3888"/>
            <w:vAlign w:val="center"/>
            <w:tcMar>
              <w:top w:w="70" w:type="dxa"/>
              <w:bottom w:w="70" w:type="dxa"/>
              <w:left w:w="100" w:type="dxa"/>
              <w:right w:w="100" w:type="dxa"/>
            </w:tcMar>
          </w:tcPr>
          <w:p>
            <w:pPr>
              <w:keepNext w:val="0"/>
              <w:spacing w:after="0" w:line="250" w:lineRule="auto"/>
            </w:pPr>
            <w:r>
              <w:rPr>
                <w:sz w:val="20"/>
              </w:rPr>
              <w:t>Публичная оферта: отправка формы с согласием; допуск к работе отдельно</w:t>
            </w:r>
          </w:p>
        </w:tc>
        <w:tc>
          <w:tcPr>
            <w:tcW w:type="dxa" w:w="4320"/>
            <w:vAlign w:val="center"/>
            <w:tcMar>
              <w:top w:w="70" w:type="dxa"/>
              <w:bottom w:w="70" w:type="dxa"/>
              <w:left w:w="100" w:type="dxa"/>
              <w:right w:w="100" w:type="dxa"/>
            </w:tcMar>
          </w:tcPr>
          <w:p>
            <w:pPr>
              <w:keepNext w:val="0"/>
              <w:spacing w:after="0" w:line="250" w:lineRule="auto"/>
            </w:pPr>
            <w:r>
              <w:rPr>
                <w:sz w:val="20"/>
              </w:rPr>
              <w:t>Доказательства согласия и редакции, критерии и срок допуска, путь приглашённого партнёра</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Участники, §3</w:t>
            </w:r>
          </w:p>
        </w:tc>
        <w:tc>
          <w:tcPr>
            <w:tcW w:type="dxa" w:w="3888"/>
            <w:vAlign w:val="center"/>
            <w:tcMar>
              <w:top w:w="70" w:type="dxa"/>
              <w:bottom w:w="70" w:type="dxa"/>
              <w:left w:w="100" w:type="dxa"/>
              <w:right w:w="100" w:type="dxa"/>
            </w:tcMar>
          </w:tcPr>
          <w:p>
            <w:pPr>
              <w:keepNext w:val="0"/>
              <w:spacing w:after="0" w:line="250" w:lineRule="auto"/>
            </w:pPr>
            <w:r>
              <w:rPr>
                <w:sz w:val="20"/>
              </w:rPr>
              <w:t>НПД, ИП и организации; физлица без ИП/НПД исключены</w:t>
            </w:r>
          </w:p>
        </w:tc>
        <w:tc>
          <w:tcPr>
            <w:tcW w:type="dxa" w:w="4320"/>
            <w:vAlign w:val="center"/>
            <w:tcMar>
              <w:top w:w="70" w:type="dxa"/>
              <w:bottom w:w="70" w:type="dxa"/>
              <w:left w:w="100" w:type="dxa"/>
              <w:right w:w="100" w:type="dxa"/>
            </w:tcMar>
          </w:tcPr>
          <w:p>
            <w:pPr>
              <w:keepNext w:val="0"/>
              <w:spacing w:after="0" w:line="250" w:lineRule="auto"/>
            </w:pPr>
            <w:r>
              <w:rPr>
                <w:sz w:val="20"/>
              </w:rPr>
              <w:t>Применимость статуса к фактическим услугам и совпадение категорий в форме и настройках</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Получатели, §6.6</w:t>
            </w:r>
          </w:p>
        </w:tc>
        <w:tc>
          <w:tcPr>
            <w:tcW w:type="dxa" w:w="3888"/>
            <w:vAlign w:val="center"/>
            <w:tcMar>
              <w:top w:w="70" w:type="dxa"/>
              <w:bottom w:w="70" w:type="dxa"/>
              <w:left w:w="100" w:type="dxa"/>
              <w:right w:w="100" w:type="dxa"/>
            </w:tcMar>
          </w:tcPr>
          <w:p>
            <w:pPr>
              <w:keepNext w:val="0"/>
              <w:spacing w:after="0" w:line="250" w:lineRule="auto"/>
            </w:pPr>
            <w:r>
              <w:rPr>
                <w:sz w:val="20"/>
              </w:rPr>
              <w:t>Один получатель либо дополнительный получатель за отдельную услугу</w:t>
            </w:r>
          </w:p>
        </w:tc>
        <w:tc>
          <w:tcPr>
            <w:tcW w:type="dxa" w:w="4320"/>
            <w:vAlign w:val="center"/>
            <w:tcMar>
              <w:top w:w="70" w:type="dxa"/>
              <w:bottom w:w="70" w:type="dxa"/>
              <w:left w:w="100" w:type="dxa"/>
              <w:right w:w="100" w:type="dxa"/>
            </w:tcMar>
          </w:tcPr>
          <w:p>
            <w:pPr>
              <w:keepNext w:val="0"/>
              <w:spacing w:after="0" w:line="250" w:lineRule="auto"/>
            </w:pPr>
            <w:r>
              <w:rPr>
                <w:sz w:val="20"/>
              </w:rPr>
              <w:t>Кто заказчик, за что платит каждому, как связаны расчёты и возвраты</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Выплаты, §7.1</w:t>
            </w:r>
          </w:p>
        </w:tc>
        <w:tc>
          <w:tcPr>
            <w:tcW w:type="dxa" w:w="3888"/>
            <w:vAlign w:val="center"/>
            <w:tcMar>
              <w:top w:w="70" w:type="dxa"/>
              <w:bottom w:w="70" w:type="dxa"/>
              <w:left w:w="100" w:type="dxa"/>
              <w:right w:w="100" w:type="dxa"/>
            </w:tcMar>
          </w:tcPr>
          <w:p>
            <w:pPr>
              <w:keepNext w:val="0"/>
              <w:spacing w:after="0" w:line="250" w:lineRule="auto"/>
            </w:pPr>
            <w:r>
              <w:rPr>
                <w:sz w:val="20"/>
              </w:rPr>
              <w:t>Через RevRoute по отдельному агентскому договору</w:t>
            </w:r>
          </w:p>
        </w:tc>
        <w:tc>
          <w:tcPr>
            <w:tcW w:type="dxa" w:w="4320"/>
            <w:vAlign w:val="center"/>
            <w:tcMar>
              <w:top w:w="70" w:type="dxa"/>
              <w:bottom w:w="70" w:type="dxa"/>
              <w:left w:w="100" w:type="dxa"/>
              <w:right w:w="100" w:type="dxa"/>
            </w:tcMar>
          </w:tcPr>
          <w:p>
            <w:pPr>
              <w:keepNext w:val="0"/>
              <w:spacing w:after="0" w:line="250" w:lineRule="auto"/>
            </w:pPr>
            <w:r>
              <w:rPr>
                <w:sz w:val="20"/>
              </w:rPr>
              <w:t>Подключение компании, номинальный счёт, финансирование и контрольная выплата</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Экономика, §6.2</w:t>
            </w:r>
          </w:p>
        </w:tc>
        <w:tc>
          <w:tcPr>
            <w:tcW w:type="dxa" w:w="3888"/>
            <w:vAlign w:val="center"/>
            <w:tcMar>
              <w:top w:w="70" w:type="dxa"/>
              <w:bottom w:w="70" w:type="dxa"/>
              <w:left w:w="100" w:type="dxa"/>
              <w:right w:w="100" w:type="dxa"/>
            </w:tcMar>
          </w:tcPr>
          <w:p>
            <w:pPr>
              <w:keepNext w:val="0"/>
              <w:spacing w:after="0" w:line="250" w:lineRule="auto"/>
            </w:pPr>
            <w:r>
              <w:rPr>
                <w:sz w:val="20"/>
              </w:rPr>
              <w:t>Только нетто-модель: бюджет V − комиссия A = цена услуги N</w:t>
            </w:r>
          </w:p>
        </w:tc>
        <w:tc>
          <w:tcPr>
            <w:tcW w:type="dxa" w:w="4320"/>
            <w:vAlign w:val="center"/>
            <w:tcMar>
              <w:top w:w="70" w:type="dxa"/>
              <w:bottom w:w="70" w:type="dxa"/>
              <w:left w:w="100" w:type="dxa"/>
              <w:right w:w="100" w:type="dxa"/>
            </w:tcMar>
          </w:tcPr>
          <w:p>
            <w:pPr>
              <w:keepNext w:val="0"/>
              <w:spacing w:after="0" w:line="250" w:lineRule="auto"/>
            </w:pPr>
            <w:r>
              <w:rPr>
                <w:sz w:val="20"/>
              </w:rPr>
              <w:t>В программе раскрыты все три суммы; банковские расходы не вычитаются дополнительно</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Приёмка, §7.4</w:t>
            </w:r>
          </w:p>
        </w:tc>
        <w:tc>
          <w:tcPr>
            <w:tcW w:type="dxa" w:w="3888"/>
            <w:vAlign w:val="center"/>
            <w:tcMar>
              <w:top w:w="70" w:type="dxa"/>
              <w:bottom w:w="70" w:type="dxa"/>
              <w:left w:w="100" w:type="dxa"/>
              <w:right w:w="100" w:type="dxa"/>
            </w:tcMar>
          </w:tcPr>
          <w:p>
            <w:pPr>
              <w:keepNext w:val="0"/>
              <w:spacing w:after="0" w:line="250" w:lineRule="auto"/>
            </w:pPr>
            <w:r>
              <w:rPr>
                <w:sz w:val="20"/>
              </w:rPr>
              <w:t>А — подписание; Б — принятие при отсутствии своевременных мотивированных возражений</w:t>
            </w:r>
          </w:p>
        </w:tc>
        <w:tc>
          <w:tcPr>
            <w:tcW w:type="dxa" w:w="4320"/>
            <w:vAlign w:val="center"/>
            <w:tcMar>
              <w:top w:w="70" w:type="dxa"/>
              <w:bottom w:w="70" w:type="dxa"/>
              <w:left w:w="100" w:type="dxa"/>
              <w:right w:w="100" w:type="dxa"/>
            </w:tcMar>
          </w:tcPr>
          <w:p>
            <w:pPr>
              <w:keepNext w:val="0"/>
              <w:spacing w:after="0" w:line="250" w:lineRule="auto"/>
            </w:pPr>
            <w:r>
              <w:rPr>
                <w:sz w:val="20"/>
              </w:rPr>
              <w:t>Исполнимый документооборот, доказательство доставки и предельный срок урегулирования</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Данные, §9</w:t>
            </w:r>
          </w:p>
        </w:tc>
        <w:tc>
          <w:tcPr>
            <w:tcW w:type="dxa" w:w="3888"/>
            <w:vAlign w:val="center"/>
            <w:tcMar>
              <w:top w:w="70" w:type="dxa"/>
              <w:bottom w:w="70" w:type="dxa"/>
              <w:left w:w="100" w:type="dxa"/>
              <w:right w:w="100" w:type="dxa"/>
            </w:tcMar>
          </w:tcPr>
          <w:p>
            <w:pPr>
              <w:keepNext w:val="0"/>
              <w:spacing w:after="0" w:line="250" w:lineRule="auto"/>
            </w:pPr>
            <w:r>
              <w:rPr>
                <w:sz w:val="20"/>
              </w:rPr>
              <w:t>А — клиент обращается сам; Б — передача партнёром; оба — если обеспечены оба пути</w:t>
            </w:r>
          </w:p>
        </w:tc>
        <w:tc>
          <w:tcPr>
            <w:tcW w:type="dxa" w:w="4320"/>
            <w:vAlign w:val="center"/>
            <w:tcMar>
              <w:top w:w="70" w:type="dxa"/>
              <w:bottom w:w="70" w:type="dxa"/>
              <w:left w:w="100" w:type="dxa"/>
              <w:right w:w="100" w:type="dxa"/>
            </w:tcMar>
          </w:tcPr>
          <w:p>
            <w:pPr>
              <w:keepNext w:val="0"/>
              <w:spacing w:after="0" w:line="250" w:lineRule="auto"/>
            </w:pPr>
            <w:r>
              <w:rPr>
                <w:sz w:val="20"/>
              </w:rPr>
              <w:t>Для Б основание передачи, сведения о получателях и необходимые подтверждения</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Продвижение, §8.2</w:t>
            </w:r>
          </w:p>
        </w:tc>
        <w:tc>
          <w:tcPr>
            <w:tcW w:type="dxa" w:w="3888"/>
            <w:vAlign w:val="center"/>
            <w:tcMar>
              <w:top w:w="70" w:type="dxa"/>
              <w:bottom w:w="70" w:type="dxa"/>
              <w:left w:w="100" w:type="dxa"/>
              <w:right w:w="100" w:type="dxa"/>
            </w:tcMar>
          </w:tcPr>
          <w:p>
            <w:pPr>
              <w:keepNext w:val="0"/>
              <w:spacing w:after="0" w:line="250" w:lineRule="auto"/>
            </w:pPr>
            <w:r>
              <w:rPr>
                <w:sz w:val="20"/>
              </w:rPr>
              <w:t>А — индивидуальные знакомства; Б — также публичное продвижение</w:t>
            </w:r>
          </w:p>
        </w:tc>
        <w:tc>
          <w:tcPr>
            <w:tcW w:type="dxa" w:w="4320"/>
            <w:vAlign w:val="center"/>
            <w:tcMar>
              <w:top w:w="70" w:type="dxa"/>
              <w:bottom w:w="70" w:type="dxa"/>
              <w:left w:w="100" w:type="dxa"/>
              <w:right w:w="100" w:type="dxa"/>
            </w:tcMar>
          </w:tcPr>
          <w:p>
            <w:pPr>
              <w:keepNext w:val="0"/>
              <w:spacing w:after="0" w:line="250" w:lineRule="auto"/>
            </w:pPr>
            <w:r>
              <w:rPr>
                <w:sz w:val="20"/>
              </w:rPr>
              <w:t>Для Б заполнить распределение рекламных действий до первого размещения</w:t>
            </w:r>
          </w:p>
        </w:tc>
      </w:tr>
      <w:tr>
        <w:trPr>
          <w:cantSplit/>
        </w:trPr>
        <w:tc>
          <w:tcPr>
            <w:tcW w:type="dxa" w:w="1872"/>
            <w:vAlign w:val="center"/>
            <w:tcMar>
              <w:top w:w="70" w:type="dxa"/>
              <w:bottom w:w="70" w:type="dxa"/>
              <w:left w:w="100" w:type="dxa"/>
              <w:right w:w="100" w:type="dxa"/>
            </w:tcMar>
          </w:tcPr>
          <w:p>
            <w:pPr>
              <w:keepNext w:val="0"/>
              <w:spacing w:after="0" w:line="250" w:lineRule="auto"/>
            </w:pPr>
            <w:r>
              <w:rPr>
                <w:sz w:val="20"/>
              </w:rPr>
              <w:t>Изменения, §11</w:t>
            </w:r>
          </w:p>
        </w:tc>
        <w:tc>
          <w:tcPr>
            <w:tcW w:type="dxa" w:w="3888"/>
            <w:vAlign w:val="center"/>
            <w:tcMar>
              <w:top w:w="70" w:type="dxa"/>
              <w:bottom w:w="70" w:type="dxa"/>
              <w:left w:w="100" w:type="dxa"/>
              <w:right w:w="100" w:type="dxa"/>
            </w:tcMar>
          </w:tcPr>
          <w:p>
            <w:pPr>
              <w:keepNext w:val="0"/>
              <w:spacing w:after="0" w:line="250" w:lineRule="auto"/>
            </w:pPr>
            <w:r>
              <w:rPr>
                <w:sz w:val="20"/>
              </w:rPr>
              <w:t>Базовое взаимное согласование; опционально допустимое одностороннее изменение</w:t>
            </w:r>
          </w:p>
        </w:tc>
        <w:tc>
          <w:tcPr>
            <w:tcW w:type="dxa" w:w="4320"/>
            <w:vAlign w:val="center"/>
            <w:tcMar>
              <w:top w:w="70" w:type="dxa"/>
              <w:bottom w:w="70" w:type="dxa"/>
              <w:left w:w="100" w:type="dxa"/>
              <w:right w:w="100" w:type="dxa"/>
            </w:tcMar>
          </w:tcPr>
          <w:p>
            <w:pPr>
              <w:keepNext w:val="0"/>
              <w:spacing w:after="0" w:line="250" w:lineRule="auto"/>
            </w:pPr>
            <w:r>
              <w:rPr>
                <w:sz w:val="20"/>
              </w:rPr>
              <w:t>Для предпринимательских оговорок отдельно проверить состав сторон и ст. 310 ГК РФ</w:t>
            </w:r>
          </w:p>
        </w:tc>
      </w:tr>
    </w:tbl>
    <w:p>
      <w:pPr>
        <w:spacing w:after="100" w:line="247" w:lineRule="auto"/>
      </w:pPr>
    </w:p>
    <w:p>
      <w:pPr>
        <w:spacing w:after="100" w:line="247" w:lineRule="auto"/>
      </w:pPr>
      <w:r>
        <w:t>Базовая редакция предусматривает бесплатное участие, отсутствие эксклюзивности и автоматического переноса расходов компании на партнёра. Плата за вход, обязательная покупка, эксклюзивность, представительство, перепродажа, иностранные участники и иные услуги требуют отдельной переработки предмета и экономики; их нельзя добавить одним скрытым параметром.</w:t>
      </w:r>
    </w:p>
    <w:p>
      <w:pPr>
        <w:pStyle w:val="Heading2"/>
      </w:pPr>
      <w:r>
        <w:t>Каталог параметров для размещения в RevRoute</w:t>
      </w:r>
    </w:p>
    <w:p>
      <w:pPr>
        <w:spacing w:after="100" w:line="247" w:lineRule="auto"/>
      </w:pPr>
      <w:r>
        <w:t>Это перечень обязательных раскрытий, а не описание существующих полей интерфейса. Используйте доступные настройки наград, групп и выплат; недостающие значения разместите в доступном описании или связанном документе программы. Для каждого параметра обеспечьте исполнение настройкой, интеграцией либо назначенной ручной операцией. Каталог хранит названия параметров, не дублирует их значения.</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49"/>
        <w:gridCol w:w="7819"/>
        <w:gridCol w:w="1512"/>
      </w:tblGrid>
      <w:tr>
        <w:trPr>
          <w:cantSplit/>
          <w:tblHeader/>
        </w:trPr>
        <w:tc>
          <w:tcPr>
            <w:tcW w:type="dxa" w:w="749"/>
            <w:vAlign w:val="center"/>
            <w:tcMar>
              <w:top w:w="70" w:type="dxa"/>
              <w:bottom w:w="70" w:type="dxa"/>
              <w:left w:w="100" w:type="dxa"/>
              <w:right w:w="100" w:type="dxa"/>
            </w:tcMar>
            <w:shd w:fill="E5EDF1"/>
          </w:tcPr>
          <w:p>
            <w:pPr>
              <w:keepNext/>
              <w:spacing w:after="0" w:line="250" w:lineRule="auto"/>
              <w:jc w:val="center"/>
            </w:pPr>
            <w:r>
              <w:rPr>
                <w:b/>
                <w:sz w:val="20"/>
              </w:rPr>
              <w:t>Код</w:t>
            </w:r>
          </w:p>
        </w:tc>
        <w:tc>
          <w:tcPr>
            <w:tcW w:type="dxa" w:w="7819"/>
            <w:vAlign w:val="center"/>
            <w:tcMar>
              <w:top w:w="70" w:type="dxa"/>
              <w:bottom w:w="70" w:type="dxa"/>
              <w:left w:w="100" w:type="dxa"/>
              <w:right w:w="100" w:type="dxa"/>
            </w:tcMar>
            <w:shd w:fill="E5EDF1"/>
          </w:tcPr>
          <w:p>
            <w:pPr>
              <w:keepNext/>
              <w:spacing w:after="0" w:line="250" w:lineRule="auto"/>
            </w:pPr>
            <w:r>
              <w:rPr>
                <w:b/>
                <w:sz w:val="20"/>
              </w:rPr>
              <w:t>Содержание Условий программы</w:t>
            </w:r>
          </w:p>
        </w:tc>
        <w:tc>
          <w:tcPr>
            <w:tcW w:type="dxa" w:w="1512"/>
            <w:vAlign w:val="center"/>
            <w:tcMar>
              <w:top w:w="70" w:type="dxa"/>
              <w:bottom w:w="70" w:type="dxa"/>
              <w:left w:w="100" w:type="dxa"/>
              <w:right w:w="100" w:type="dxa"/>
            </w:tcMar>
            <w:shd w:fill="E5EDF1"/>
          </w:tcPr>
          <w:p>
            <w:pPr>
              <w:keepNext/>
              <w:spacing w:after="0" w:line="250" w:lineRule="auto"/>
              <w:jc w:val="center"/>
            </w:pPr>
            <w:r>
              <w:rPr>
                <w:b/>
                <w:sz w:val="20"/>
              </w:rPr>
              <w:t>Связь с договором</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П01</w:t>
            </w:r>
          </w:p>
        </w:tc>
        <w:tc>
          <w:tcPr>
            <w:tcW w:type="dxa" w:w="7819"/>
            <w:vAlign w:val="center"/>
            <w:tcMar>
              <w:top w:w="70" w:type="dxa"/>
              <w:bottom w:w="70" w:type="dxa"/>
              <w:left w:w="100" w:type="dxa"/>
              <w:right w:w="100" w:type="dxa"/>
            </w:tcMar>
          </w:tcPr>
          <w:p>
            <w:pPr>
              <w:keepNext w:val="0"/>
              <w:spacing w:after="0" w:line="250" w:lineRule="auto"/>
            </w:pPr>
            <w:r>
              <w:rPr>
                <w:sz w:val="20"/>
              </w:rPr>
              <w:t>Наименование и ID программы; URL; дата и идентификатор редакции; дата фактического запуска, если заявляется</w:t>
            </w:r>
          </w:p>
        </w:tc>
        <w:tc>
          <w:tcPr>
            <w:tcW w:type="dxa" w:w="1512"/>
            <w:vAlign w:val="center"/>
            <w:tcMar>
              <w:top w:w="70" w:type="dxa"/>
              <w:bottom w:w="70" w:type="dxa"/>
              <w:left w:w="100" w:type="dxa"/>
              <w:right w:w="100" w:type="dxa"/>
            </w:tcMar>
          </w:tcPr>
          <w:p>
            <w:pPr>
              <w:keepNext w:val="0"/>
              <w:spacing w:after="0" w:line="250" w:lineRule="auto"/>
              <w:jc w:val="center"/>
            </w:pPr>
            <w:r>
              <w:rPr>
                <w:sz w:val="20"/>
              </w:rPr>
              <w:t>§§1–2</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П02</w:t>
            </w:r>
          </w:p>
        </w:tc>
        <w:tc>
          <w:tcPr>
            <w:tcW w:type="dxa" w:w="7819"/>
            <w:vAlign w:val="center"/>
            <w:tcMar>
              <w:top w:w="70" w:type="dxa"/>
              <w:bottom w:w="70" w:type="dxa"/>
              <w:left w:w="100" w:type="dxa"/>
              <w:right w:w="100" w:type="dxa"/>
            </w:tcMar>
          </w:tcPr>
          <w:p>
            <w:pPr>
              <w:keepNext w:val="0"/>
              <w:spacing w:after="0" w:line="250" w:lineRule="auto"/>
            </w:pPr>
            <w:r>
              <w:rPr>
                <w:sz w:val="20"/>
              </w:rPr>
              <w:t>Продукты, территория, категории клиентов и партнёров, услуги каждой категории, ограничения статуса и географии выплат</w:t>
            </w:r>
          </w:p>
        </w:tc>
        <w:tc>
          <w:tcPr>
            <w:tcW w:type="dxa" w:w="1512"/>
            <w:vAlign w:val="center"/>
            <w:tcMar>
              <w:top w:w="70" w:type="dxa"/>
              <w:bottom w:w="70" w:type="dxa"/>
              <w:left w:w="100" w:type="dxa"/>
              <w:right w:w="100" w:type="dxa"/>
            </w:tcMar>
          </w:tcPr>
          <w:p>
            <w:pPr>
              <w:keepNext w:val="0"/>
              <w:spacing w:after="0" w:line="250" w:lineRule="auto"/>
              <w:jc w:val="center"/>
            </w:pPr>
            <w:r>
              <w:rPr>
                <w:sz w:val="20"/>
              </w:rPr>
              <w:t>§§3–4</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П03</w:t>
            </w:r>
          </w:p>
        </w:tc>
        <w:tc>
          <w:tcPr>
            <w:tcW w:type="dxa" w:w="7819"/>
            <w:vAlign w:val="center"/>
            <w:tcMar>
              <w:top w:w="70" w:type="dxa"/>
              <w:bottom w:w="70" w:type="dxa"/>
              <w:left w:w="100" w:type="dxa"/>
              <w:right w:w="100" w:type="dxa"/>
            </w:tcMar>
          </w:tcPr>
          <w:p>
            <w:pPr>
              <w:keepNext w:val="0"/>
              <w:spacing w:after="0" w:line="250" w:lineRule="auto"/>
            </w:pPr>
            <w:r>
              <w:rPr>
                <w:sz w:val="20"/>
              </w:rPr>
              <w:t>Акцепт отправкой формы с согласием, проверка личности и полномочий, режим и критерии допуска, срок рассмотрения и сообщения результата; начало оплачиваемой работы</w:t>
            </w:r>
          </w:p>
        </w:tc>
        <w:tc>
          <w:tcPr>
            <w:tcW w:type="dxa" w:w="1512"/>
            <w:vAlign w:val="center"/>
            <w:tcMar>
              <w:top w:w="70" w:type="dxa"/>
              <w:bottom w:w="70" w:type="dxa"/>
              <w:left w:w="100" w:type="dxa"/>
              <w:right w:w="100" w:type="dxa"/>
            </w:tcMar>
          </w:tcPr>
          <w:p>
            <w:pPr>
              <w:keepNext w:val="0"/>
              <w:spacing w:after="0" w:line="250" w:lineRule="auto"/>
              <w:jc w:val="center"/>
            </w:pPr>
            <w:r>
              <w:rPr>
                <w:sz w:val="20"/>
              </w:rPr>
              <w:t>§2</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П04</w:t>
            </w:r>
          </w:p>
        </w:tc>
        <w:tc>
          <w:tcPr>
            <w:tcW w:type="dxa" w:w="7819"/>
            <w:vAlign w:val="center"/>
            <w:tcMar>
              <w:top w:w="70" w:type="dxa"/>
              <w:bottom w:w="70" w:type="dxa"/>
              <w:left w:w="100" w:type="dxa"/>
              <w:right w:w="100" w:type="dxa"/>
            </w:tcMar>
          </w:tcPr>
          <w:p>
            <w:pPr>
              <w:keepNext w:val="0"/>
              <w:spacing w:after="0" w:line="250" w:lineRule="auto"/>
            </w:pPr>
            <w:r>
              <w:rPr>
                <w:sz w:val="20"/>
              </w:rPr>
              <w:t>Группы и критерии уровней; кто и когда переводит участника, для каких событий; применимая индивидуальная редакция</w:t>
            </w:r>
          </w:p>
        </w:tc>
        <w:tc>
          <w:tcPr>
            <w:tcW w:type="dxa" w:w="1512"/>
            <w:vAlign w:val="center"/>
            <w:tcMar>
              <w:top w:w="70" w:type="dxa"/>
              <w:bottom w:w="70" w:type="dxa"/>
              <w:left w:w="100" w:type="dxa"/>
              <w:right w:w="100" w:type="dxa"/>
            </w:tcMar>
          </w:tcPr>
          <w:p>
            <w:pPr>
              <w:keepNext w:val="0"/>
              <w:spacing w:after="0" w:line="250" w:lineRule="auto"/>
              <w:jc w:val="center"/>
            </w:pPr>
            <w:r>
              <w:rPr>
                <w:sz w:val="20"/>
              </w:rPr>
              <w:t>§§1, 6, 11</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П05</w:t>
            </w:r>
          </w:p>
        </w:tc>
        <w:tc>
          <w:tcPr>
            <w:tcW w:type="dxa" w:w="7819"/>
            <w:vAlign w:val="center"/>
            <w:tcMar>
              <w:top w:w="70" w:type="dxa"/>
              <w:bottom w:w="70" w:type="dxa"/>
              <w:left w:w="100" w:type="dxa"/>
              <w:right w:w="100" w:type="dxa"/>
            </w:tcMar>
          </w:tcPr>
          <w:p>
            <w:pPr>
              <w:keepNext w:val="0"/>
              <w:spacing w:after="0" w:line="250" w:lineRule="auto"/>
            </w:pPr>
            <w:r>
              <w:rPr>
                <w:sz w:val="20"/>
              </w:rPr>
              <w:t>Допустимый клиент и дубликат; способы атрибуции и приоритеты; начало и длительность окна перехода, закрепления и повторных начислений</w:t>
            </w:r>
          </w:p>
        </w:tc>
        <w:tc>
          <w:tcPr>
            <w:tcW w:type="dxa" w:w="1512"/>
            <w:vAlign w:val="center"/>
            <w:tcMar>
              <w:top w:w="70" w:type="dxa"/>
              <w:bottom w:w="70" w:type="dxa"/>
              <w:left w:w="100" w:type="dxa"/>
              <w:right w:w="100" w:type="dxa"/>
            </w:tcMar>
          </w:tcPr>
          <w:p>
            <w:pPr>
              <w:keepNext w:val="0"/>
              <w:spacing w:after="0" w:line="250" w:lineRule="auto"/>
              <w:jc w:val="center"/>
            </w:pPr>
            <w:r>
              <w:rPr>
                <w:sz w:val="20"/>
              </w:rPr>
              <w:t>§5</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П06</w:t>
            </w:r>
          </w:p>
        </w:tc>
        <w:tc>
          <w:tcPr>
            <w:tcW w:type="dxa" w:w="7819"/>
            <w:vAlign w:val="center"/>
            <w:tcMar>
              <w:top w:w="70" w:type="dxa"/>
              <w:bottom w:w="70" w:type="dxa"/>
              <w:left w:w="100" w:type="dxa"/>
              <w:right w:w="100" w:type="dxa"/>
            </w:tcMar>
          </w:tcPr>
          <w:p>
            <w:pPr>
              <w:keepNext w:val="0"/>
              <w:spacing w:after="0" w:line="250" w:lineRule="auto"/>
            </w:pPr>
            <w:r>
              <w:rPr>
                <w:sz w:val="20"/>
              </w:rPr>
              <w:t>Оплачиваемое событие, модель CPA / процент / гибрид; ставка или сумма бюджета V для каждого продукта, уровня и повторной оплаты</w:t>
            </w:r>
          </w:p>
        </w:tc>
        <w:tc>
          <w:tcPr>
            <w:tcW w:type="dxa" w:w="1512"/>
            <w:vAlign w:val="center"/>
            <w:tcMar>
              <w:top w:w="70" w:type="dxa"/>
              <w:bottom w:w="70" w:type="dxa"/>
              <w:left w:w="100" w:type="dxa"/>
              <w:right w:w="100" w:type="dxa"/>
            </w:tcMar>
          </w:tcPr>
          <w:p>
            <w:pPr>
              <w:keepNext w:val="0"/>
              <w:spacing w:after="0" w:line="250" w:lineRule="auto"/>
              <w:jc w:val="center"/>
            </w:pPr>
            <w:r>
              <w:rPr>
                <w:sz w:val="20"/>
              </w:rPr>
              <w:t>§6</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П07</w:t>
            </w:r>
          </w:p>
        </w:tc>
        <w:tc>
          <w:tcPr>
            <w:tcW w:type="dxa" w:w="7819"/>
            <w:vAlign w:val="center"/>
            <w:tcMar>
              <w:top w:w="70" w:type="dxa"/>
              <w:bottom w:w="70" w:type="dxa"/>
              <w:left w:w="100" w:type="dxa"/>
              <w:right w:w="100" w:type="dxa"/>
            </w:tcMar>
          </w:tcPr>
          <w:p>
            <w:pPr>
              <w:keepNext w:val="0"/>
              <w:spacing w:after="0" w:line="250" w:lineRule="auto"/>
            </w:pPr>
            <w:r>
              <w:rPr>
                <w:sz w:val="20"/>
              </w:rPr>
              <w:t>База, налоги в цене, скидки, рассрочки, валюта, курс и дата пересчёта при необходимости, округление; комиссия и чистая цена услуги</w:t>
            </w:r>
          </w:p>
        </w:tc>
        <w:tc>
          <w:tcPr>
            <w:tcW w:type="dxa" w:w="1512"/>
            <w:vAlign w:val="center"/>
            <w:tcMar>
              <w:top w:w="70" w:type="dxa"/>
              <w:bottom w:w="70" w:type="dxa"/>
              <w:left w:w="100" w:type="dxa"/>
              <w:right w:w="100" w:type="dxa"/>
            </w:tcMar>
          </w:tcPr>
          <w:p>
            <w:pPr>
              <w:keepNext w:val="0"/>
              <w:spacing w:after="0" w:line="250" w:lineRule="auto"/>
              <w:jc w:val="center"/>
            </w:pPr>
            <w:r>
              <w:rPr>
                <w:sz w:val="20"/>
              </w:rPr>
              <w:t>§6</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П08</w:t>
            </w:r>
          </w:p>
        </w:tc>
        <w:tc>
          <w:tcPr>
            <w:tcW w:type="dxa" w:w="7819"/>
            <w:vAlign w:val="center"/>
            <w:tcMar>
              <w:top w:w="70" w:type="dxa"/>
              <w:bottom w:w="70" w:type="dxa"/>
              <w:left w:w="100" w:type="dxa"/>
              <w:right w:w="100" w:type="dxa"/>
            </w:tcMar>
          </w:tcPr>
          <w:p>
            <w:pPr>
              <w:keepNext w:val="0"/>
              <w:spacing w:after="0" w:line="250" w:lineRule="auto"/>
            </w:pPr>
            <w:r>
              <w:rPr>
                <w:sz w:val="20"/>
              </w:rPr>
              <w:t>Все условия подтверждения, числовые KPI, лимиты, ступени и исключения; к каким событиям применяются; исчерпывающие причины отказа/отмены</w:t>
            </w:r>
          </w:p>
        </w:tc>
        <w:tc>
          <w:tcPr>
            <w:tcW w:type="dxa" w:w="1512"/>
            <w:vAlign w:val="center"/>
            <w:tcMar>
              <w:top w:w="70" w:type="dxa"/>
              <w:bottom w:w="70" w:type="dxa"/>
              <w:left w:w="100" w:type="dxa"/>
              <w:right w:w="100" w:type="dxa"/>
            </w:tcMar>
          </w:tcPr>
          <w:p>
            <w:pPr>
              <w:keepNext w:val="0"/>
              <w:spacing w:after="0" w:line="250" w:lineRule="auto"/>
              <w:jc w:val="center"/>
            </w:pPr>
            <w:r>
              <w:rPr>
                <w:sz w:val="20"/>
              </w:rPr>
              <w:t>§§5–6, 10</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П09</w:t>
            </w:r>
          </w:p>
        </w:tc>
        <w:tc>
          <w:tcPr>
            <w:tcW w:type="dxa" w:w="7819"/>
            <w:vAlign w:val="center"/>
            <w:tcMar>
              <w:top w:w="70" w:type="dxa"/>
              <w:bottom w:w="70" w:type="dxa"/>
              <w:left w:w="100" w:type="dxa"/>
              <w:right w:w="100" w:type="dxa"/>
            </w:tcMar>
          </w:tcPr>
          <w:p>
            <w:pPr>
              <w:keepNext w:val="0"/>
              <w:spacing w:after="0" w:line="250" w:lineRule="auto"/>
            </w:pPr>
            <w:r>
              <w:rPr>
                <w:sz w:val="20"/>
              </w:rPr>
              <w:t>Холд: начало, длительность, исчерпывающие основания и предел продления; срок исправления пропущенного события</w:t>
            </w:r>
          </w:p>
        </w:tc>
        <w:tc>
          <w:tcPr>
            <w:tcW w:type="dxa" w:w="1512"/>
            <w:vAlign w:val="center"/>
            <w:tcMar>
              <w:top w:w="70" w:type="dxa"/>
              <w:bottom w:w="70" w:type="dxa"/>
              <w:left w:w="100" w:type="dxa"/>
              <w:right w:w="100" w:type="dxa"/>
            </w:tcMar>
          </w:tcPr>
          <w:p>
            <w:pPr>
              <w:keepNext w:val="0"/>
              <w:spacing w:after="0" w:line="250" w:lineRule="auto"/>
              <w:jc w:val="center"/>
            </w:pPr>
            <w:r>
              <w:rPr>
                <w:sz w:val="20"/>
              </w:rPr>
              <w:t>§§5, 7, 10</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П10</w:t>
            </w:r>
          </w:p>
        </w:tc>
        <w:tc>
          <w:tcPr>
            <w:tcW w:type="dxa" w:w="7819"/>
            <w:vAlign w:val="center"/>
            <w:tcMar>
              <w:top w:w="70" w:type="dxa"/>
              <w:bottom w:w="70" w:type="dxa"/>
              <w:left w:w="100" w:type="dxa"/>
              <w:right w:w="100" w:type="dxa"/>
            </w:tcMar>
          </w:tcPr>
          <w:p>
            <w:pPr>
              <w:keepNext w:val="0"/>
              <w:spacing w:after="0" w:line="250" w:lineRule="auto"/>
            </w:pPr>
            <w:r>
              <w:rPr>
                <w:sz w:val="20"/>
              </w:rPr>
              <w:t>Расчётный период, составитель документов, срок подготовки, приёмки и исправления; форма и маршрут подписания; конечный срок урегулирования документов</w:t>
            </w:r>
          </w:p>
        </w:tc>
        <w:tc>
          <w:tcPr>
            <w:tcW w:type="dxa" w:w="1512"/>
            <w:vAlign w:val="center"/>
            <w:tcMar>
              <w:top w:w="70" w:type="dxa"/>
              <w:bottom w:w="70" w:type="dxa"/>
              <w:left w:w="100" w:type="dxa"/>
              <w:right w:w="100" w:type="dxa"/>
            </w:tcMar>
          </w:tcPr>
          <w:p>
            <w:pPr>
              <w:keepNext w:val="0"/>
              <w:spacing w:after="0" w:line="250" w:lineRule="auto"/>
              <w:jc w:val="center"/>
            </w:pPr>
            <w:r>
              <w:rPr>
                <w:sz w:val="20"/>
              </w:rPr>
              <w:t>§7</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П11</w:t>
            </w:r>
          </w:p>
        </w:tc>
        <w:tc>
          <w:tcPr>
            <w:tcW w:type="dxa" w:w="7819"/>
            <w:vAlign w:val="center"/>
            <w:tcMar>
              <w:top w:w="70" w:type="dxa"/>
              <w:bottom w:w="70" w:type="dxa"/>
              <w:left w:w="100" w:type="dxa"/>
              <w:right w:w="100" w:type="dxa"/>
            </w:tcMar>
          </w:tcPr>
          <w:p>
            <w:pPr>
              <w:keepNext w:val="0"/>
              <w:spacing w:after="0" w:line="250" w:lineRule="auto"/>
            </w:pPr>
            <w:r>
              <w:rPr>
                <w:sz w:val="20"/>
              </w:rPr>
              <w:t>График/срок выплаты и начало отсчёта; нужен ли запрос; денежный порог, перенос остатка; способы, расходы и ограничения перевода. KPI возникновения вознаграждения раскрываются отдельно в П08</w:t>
            </w:r>
          </w:p>
        </w:tc>
        <w:tc>
          <w:tcPr>
            <w:tcW w:type="dxa" w:w="1512"/>
            <w:vAlign w:val="center"/>
            <w:tcMar>
              <w:top w:w="70" w:type="dxa"/>
              <w:bottom w:w="70" w:type="dxa"/>
              <w:left w:w="100" w:type="dxa"/>
              <w:right w:w="100" w:type="dxa"/>
            </w:tcMar>
          </w:tcPr>
          <w:p>
            <w:pPr>
              <w:keepNext w:val="0"/>
              <w:spacing w:after="0" w:line="250" w:lineRule="auto"/>
              <w:jc w:val="center"/>
            </w:pPr>
            <w:r>
              <w:rPr>
                <w:sz w:val="20"/>
              </w:rPr>
              <w:t>§7</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П12</w:t>
            </w:r>
          </w:p>
        </w:tc>
        <w:tc>
          <w:tcPr>
            <w:tcW w:type="dxa" w:w="7819"/>
            <w:vAlign w:val="center"/>
            <w:tcMar>
              <w:top w:w="70" w:type="dxa"/>
              <w:bottom w:w="70" w:type="dxa"/>
              <w:left w:w="100" w:type="dxa"/>
              <w:right w:w="100" w:type="dxa"/>
            </w:tcMar>
          </w:tcPr>
          <w:p>
            <w:pPr>
              <w:keepNext w:val="0"/>
              <w:spacing w:after="0" w:line="250" w:lineRule="auto"/>
            </w:pPr>
            <w:r>
              <w:rPr>
                <w:sz w:val="20"/>
              </w:rPr>
              <w:t>Возвраты/неоплата/ошибки: событие, подтверждение, формула и срок корректировки, оспаривание и возврат уже выплаченного</w:t>
            </w:r>
          </w:p>
        </w:tc>
        <w:tc>
          <w:tcPr>
            <w:tcW w:type="dxa" w:w="1512"/>
            <w:vAlign w:val="center"/>
            <w:tcMar>
              <w:top w:w="70" w:type="dxa"/>
              <w:bottom w:w="70" w:type="dxa"/>
              <w:left w:w="100" w:type="dxa"/>
              <w:right w:w="100" w:type="dxa"/>
            </w:tcMar>
          </w:tcPr>
          <w:p>
            <w:pPr>
              <w:keepNext w:val="0"/>
              <w:spacing w:after="0" w:line="250" w:lineRule="auto"/>
              <w:jc w:val="center"/>
            </w:pPr>
            <w:r>
              <w:rPr>
                <w:sz w:val="20"/>
              </w:rPr>
              <w:t>§§6–7</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П13</w:t>
            </w:r>
          </w:p>
        </w:tc>
        <w:tc>
          <w:tcPr>
            <w:tcW w:type="dxa" w:w="7819"/>
            <w:vAlign w:val="center"/>
            <w:tcMar>
              <w:top w:w="70" w:type="dxa"/>
              <w:bottom w:w="70" w:type="dxa"/>
              <w:left w:w="100" w:type="dxa"/>
              <w:right w:w="100" w:type="dxa"/>
            </w:tcMar>
          </w:tcPr>
          <w:p>
            <w:pPr>
              <w:keepNext w:val="0"/>
              <w:spacing w:after="0" w:line="250" w:lineRule="auto"/>
            </w:pPr>
            <w:r>
              <w:rPr>
                <w:sz w:val="20"/>
              </w:rPr>
              <w:t>При нескольких получателях: отдельные услуги и договоры с компанией; фиксация связи, база продажи, бюджеты каждого и нетто-суммы; периоды, исправление связи, возврат и выход</w:t>
            </w:r>
          </w:p>
        </w:tc>
        <w:tc>
          <w:tcPr>
            <w:tcW w:type="dxa" w:w="1512"/>
            <w:vAlign w:val="center"/>
            <w:tcMar>
              <w:top w:w="70" w:type="dxa"/>
              <w:bottom w:w="70" w:type="dxa"/>
              <w:left w:w="100" w:type="dxa"/>
              <w:right w:w="100" w:type="dxa"/>
            </w:tcMar>
          </w:tcPr>
          <w:p>
            <w:pPr>
              <w:keepNext w:val="0"/>
              <w:spacing w:after="0" w:line="250" w:lineRule="auto"/>
              <w:jc w:val="center"/>
            </w:pPr>
            <w:r>
              <w:rPr>
                <w:sz w:val="20"/>
              </w:rPr>
              <w:t>§6.6</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П14</w:t>
            </w:r>
          </w:p>
        </w:tc>
        <w:tc>
          <w:tcPr>
            <w:tcW w:type="dxa" w:w="7819"/>
            <w:vAlign w:val="center"/>
            <w:tcMar>
              <w:top w:w="70" w:type="dxa"/>
              <w:bottom w:w="70" w:type="dxa"/>
              <w:left w:w="100" w:type="dxa"/>
              <w:right w:w="100" w:type="dxa"/>
            </w:tcMar>
          </w:tcPr>
          <w:p>
            <w:pPr>
              <w:keepNext w:val="0"/>
              <w:spacing w:after="0" w:line="250" w:lineRule="auto"/>
            </w:pPr>
            <w:r>
              <w:rPr>
                <w:sz w:val="20"/>
              </w:rPr>
              <w:t>Разрешённые и запрещённые каналы, материалы и согласование; раскрытие вознаграждения за рекомендацию; распределение рекламных действий, сроки и расходы</w:t>
            </w:r>
          </w:p>
        </w:tc>
        <w:tc>
          <w:tcPr>
            <w:tcW w:type="dxa" w:w="1512"/>
            <w:vAlign w:val="center"/>
            <w:tcMar>
              <w:top w:w="70" w:type="dxa"/>
              <w:bottom w:w="70" w:type="dxa"/>
              <w:left w:w="100" w:type="dxa"/>
              <w:right w:w="100" w:type="dxa"/>
            </w:tcMar>
          </w:tcPr>
          <w:p>
            <w:pPr>
              <w:keepNext w:val="0"/>
              <w:spacing w:after="0" w:line="250" w:lineRule="auto"/>
              <w:jc w:val="center"/>
            </w:pPr>
            <w:r>
              <w:rPr>
                <w:sz w:val="20"/>
              </w:rPr>
              <w:t>§8</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П15</w:t>
            </w:r>
          </w:p>
        </w:tc>
        <w:tc>
          <w:tcPr>
            <w:tcW w:type="dxa" w:w="7819"/>
            <w:vAlign w:val="center"/>
            <w:tcMar>
              <w:top w:w="70" w:type="dxa"/>
              <w:bottom w:w="70" w:type="dxa"/>
              <w:left w:w="100" w:type="dxa"/>
              <w:right w:w="100" w:type="dxa"/>
            </w:tcMar>
          </w:tcPr>
          <w:p>
            <w:pPr>
              <w:keepNext w:val="0"/>
              <w:spacing w:after="0" w:line="250" w:lineRule="auto"/>
            </w:pPr>
            <w:r>
              <w:rPr>
                <w:sz w:val="20"/>
              </w:rPr>
              <w:t>Потоки данных партнёра, клиентов и посетителей; точные поля, цели, основания, роли и получатели; ссылки на отдельные документы, правила доступа и хранения; средства трекинга/cookie, информирование и необходимые согласия</w:t>
            </w:r>
          </w:p>
        </w:tc>
        <w:tc>
          <w:tcPr>
            <w:tcW w:type="dxa" w:w="1512"/>
            <w:vAlign w:val="center"/>
            <w:tcMar>
              <w:top w:w="70" w:type="dxa"/>
              <w:bottom w:w="70" w:type="dxa"/>
              <w:left w:w="100" w:type="dxa"/>
              <w:right w:w="100" w:type="dxa"/>
            </w:tcMar>
          </w:tcPr>
          <w:p>
            <w:pPr>
              <w:keepNext w:val="0"/>
              <w:spacing w:after="0" w:line="250" w:lineRule="auto"/>
              <w:jc w:val="center"/>
            </w:pPr>
            <w:r>
              <w:rPr>
                <w:sz w:val="20"/>
              </w:rPr>
              <w:t>§9</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П16</w:t>
            </w:r>
          </w:p>
        </w:tc>
        <w:tc>
          <w:tcPr>
            <w:tcW w:type="dxa" w:w="7819"/>
            <w:vAlign w:val="center"/>
            <w:tcMar>
              <w:top w:w="70" w:type="dxa"/>
              <w:bottom w:w="70" w:type="dxa"/>
              <w:left w:w="100" w:type="dxa"/>
              <w:right w:w="100" w:type="dxa"/>
            </w:tcMar>
          </w:tcPr>
          <w:p>
            <w:pPr>
              <w:keepNext w:val="0"/>
              <w:spacing w:after="0" w:line="250" w:lineRule="auto"/>
            </w:pPr>
            <w:r>
              <w:rPr>
                <w:sz w:val="20"/>
              </w:rPr>
              <w:t>Именованный контакт/ответственный менеджер, обращения и претензии; срок первого ответа и разрешения, эскалация; задержка обновления статистики и выдача копий</w:t>
            </w:r>
          </w:p>
        </w:tc>
        <w:tc>
          <w:tcPr>
            <w:tcW w:type="dxa" w:w="1512"/>
            <w:vAlign w:val="center"/>
            <w:tcMar>
              <w:top w:w="70" w:type="dxa"/>
              <w:bottom w:w="70" w:type="dxa"/>
              <w:left w:w="100" w:type="dxa"/>
              <w:right w:w="100" w:type="dxa"/>
            </w:tcMar>
          </w:tcPr>
          <w:p>
            <w:pPr>
              <w:keepNext w:val="0"/>
              <w:spacing w:after="0" w:line="250" w:lineRule="auto"/>
              <w:jc w:val="center"/>
            </w:pPr>
            <w:r>
              <w:rPr>
                <w:sz w:val="20"/>
              </w:rPr>
              <w:t>§§5, 10, 13</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П17</w:t>
            </w:r>
          </w:p>
        </w:tc>
        <w:tc>
          <w:tcPr>
            <w:tcW w:type="dxa" w:w="7819"/>
            <w:vAlign w:val="center"/>
            <w:tcMar>
              <w:top w:w="70" w:type="dxa"/>
              <w:bottom w:w="70" w:type="dxa"/>
              <w:left w:w="100" w:type="dxa"/>
              <w:right w:w="100" w:type="dxa"/>
            </w:tcMar>
          </w:tcPr>
          <w:p>
            <w:pPr>
              <w:keepNext w:val="0"/>
              <w:spacing w:after="0" w:line="250" w:lineRule="auto"/>
            </w:pPr>
            <w:r>
              <w:rPr>
                <w:sz w:val="20"/>
              </w:rPr>
              <w:t>Порядок изменений: уведомление, срок, дата, событие разграничения старых/новых условий, защищённый период повторных оплат</w:t>
            </w:r>
          </w:p>
        </w:tc>
        <w:tc>
          <w:tcPr>
            <w:tcW w:type="dxa" w:w="1512"/>
            <w:vAlign w:val="center"/>
            <w:tcMar>
              <w:top w:w="70" w:type="dxa"/>
              <w:bottom w:w="70" w:type="dxa"/>
              <w:left w:w="100" w:type="dxa"/>
              <w:right w:w="100" w:type="dxa"/>
            </w:tcMar>
          </w:tcPr>
          <w:p>
            <w:pPr>
              <w:keepNext w:val="0"/>
              <w:spacing w:after="0" w:line="250" w:lineRule="auto"/>
              <w:jc w:val="center"/>
            </w:pPr>
            <w:r>
              <w:rPr>
                <w:sz w:val="20"/>
              </w:rPr>
              <w:t>§11</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П18</w:t>
            </w:r>
          </w:p>
        </w:tc>
        <w:tc>
          <w:tcPr>
            <w:tcW w:type="dxa" w:w="7819"/>
            <w:vAlign w:val="center"/>
            <w:tcMar>
              <w:top w:w="70" w:type="dxa"/>
              <w:bottom w:w="70" w:type="dxa"/>
              <w:left w:w="100" w:type="dxa"/>
              <w:right w:w="100" w:type="dxa"/>
            </w:tcMar>
          </w:tcPr>
          <w:p>
            <w:pPr>
              <w:keepNext w:val="0"/>
              <w:spacing w:after="0" w:line="250" w:lineRule="auto"/>
            </w:pPr>
            <w:r>
              <w:rPr>
                <w:sz w:val="20"/>
              </w:rPr>
              <w:t>Выход: уведомление, прекращение новых услуг, судьба незавершённых результатов и старых клиентов, предельный срок окончательного расчёта и выдачи документов</w:t>
            </w:r>
          </w:p>
        </w:tc>
        <w:tc>
          <w:tcPr>
            <w:tcW w:type="dxa" w:w="1512"/>
            <w:vAlign w:val="center"/>
            <w:tcMar>
              <w:top w:w="70" w:type="dxa"/>
              <w:bottom w:w="70" w:type="dxa"/>
              <w:left w:w="100" w:type="dxa"/>
              <w:right w:w="100" w:type="dxa"/>
            </w:tcMar>
          </w:tcPr>
          <w:p>
            <w:pPr>
              <w:keepNext w:val="0"/>
              <w:spacing w:after="0" w:line="250" w:lineRule="auto"/>
              <w:jc w:val="center"/>
            </w:pPr>
            <w:r>
              <w:rPr>
                <w:sz w:val="20"/>
              </w:rPr>
              <w:t>§12</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П19</w:t>
            </w:r>
          </w:p>
        </w:tc>
        <w:tc>
          <w:tcPr>
            <w:tcW w:type="dxa" w:w="7819"/>
            <w:vAlign w:val="center"/>
            <w:tcMar>
              <w:top w:w="70" w:type="dxa"/>
              <w:bottom w:w="70" w:type="dxa"/>
              <w:left w:w="100" w:type="dxa"/>
              <w:right w:w="100" w:type="dxa"/>
            </w:tcMar>
          </w:tcPr>
          <w:p>
            <w:pPr>
              <w:keepNext w:val="0"/>
              <w:spacing w:after="0" w:line="250" w:lineRule="auto"/>
            </w:pPr>
            <w:r>
              <w:rPr>
                <w:sz w:val="20"/>
              </w:rPr>
              <w:t>Каналы юридических сообщений; подтверждённые адреса, способ идентификации/подписания, доказательства доставки и резервный канал</w:t>
            </w:r>
          </w:p>
        </w:tc>
        <w:tc>
          <w:tcPr>
            <w:tcW w:type="dxa" w:w="1512"/>
            <w:vAlign w:val="center"/>
            <w:tcMar>
              <w:top w:w="70" w:type="dxa"/>
              <w:bottom w:w="70" w:type="dxa"/>
              <w:left w:w="100" w:type="dxa"/>
              <w:right w:w="100" w:type="dxa"/>
            </w:tcMar>
          </w:tcPr>
          <w:p>
            <w:pPr>
              <w:keepNext w:val="0"/>
              <w:spacing w:after="0" w:line="250" w:lineRule="auto"/>
              <w:jc w:val="center"/>
            </w:pPr>
            <w:r>
              <w:rPr>
                <w:sz w:val="20"/>
              </w:rPr>
              <w:t>§§2, 13</w:t>
            </w:r>
          </w:p>
        </w:tc>
      </w:tr>
      <w:tr>
        <w:trPr>
          <w:cantSplit/>
        </w:trPr>
        <w:tc>
          <w:tcPr>
            <w:tcW w:type="dxa" w:w="749"/>
            <w:vAlign w:val="center"/>
            <w:tcMar>
              <w:top w:w="70" w:type="dxa"/>
              <w:bottom w:w="70" w:type="dxa"/>
              <w:left w:w="100" w:type="dxa"/>
              <w:right w:w="100" w:type="dxa"/>
            </w:tcMar>
          </w:tcPr>
          <w:p>
            <w:pPr>
              <w:keepNext w:val="0"/>
              <w:spacing w:after="0" w:line="250" w:lineRule="auto"/>
              <w:jc w:val="center"/>
            </w:pPr>
            <w:r>
              <w:rPr>
                <w:sz w:val="20"/>
              </w:rPr>
              <w:t>П20</w:t>
            </w:r>
          </w:p>
        </w:tc>
        <w:tc>
          <w:tcPr>
            <w:tcW w:type="dxa" w:w="7819"/>
            <w:vAlign w:val="center"/>
            <w:tcMar>
              <w:top w:w="70" w:type="dxa"/>
              <w:bottom w:w="70" w:type="dxa"/>
              <w:left w:w="100" w:type="dxa"/>
              <w:right w:w="100" w:type="dxa"/>
            </w:tcMar>
          </w:tcPr>
          <w:p>
            <w:pPr>
              <w:keepNext w:val="0"/>
              <w:spacing w:after="0" w:line="250" w:lineRule="auto"/>
            </w:pPr>
            <w:r>
              <w:rPr>
                <w:sz w:val="20"/>
              </w:rPr>
              <w:t>Обработка переданного лида: срок первого обращения к клиенту, квалификации и сообщения результата партнёру; ответственный, эскалация и последствия просрочки компании</w:t>
            </w:r>
          </w:p>
        </w:tc>
        <w:tc>
          <w:tcPr>
            <w:tcW w:type="dxa" w:w="1512"/>
            <w:vAlign w:val="center"/>
            <w:tcMar>
              <w:top w:w="70" w:type="dxa"/>
              <w:bottom w:w="70" w:type="dxa"/>
              <w:left w:w="100" w:type="dxa"/>
              <w:right w:w="100" w:type="dxa"/>
            </w:tcMar>
          </w:tcPr>
          <w:p>
            <w:pPr>
              <w:keepNext w:val="0"/>
              <w:spacing w:after="0" w:line="250" w:lineRule="auto"/>
              <w:jc w:val="center"/>
            </w:pPr>
            <w:r>
              <w:rPr>
                <w:sz w:val="20"/>
              </w:rPr>
              <w:t>§§4–5</w:t>
            </w:r>
          </w:p>
        </w:tc>
      </w:tr>
    </w:tbl>
    <w:p>
      <w:pPr>
        <w:spacing w:after="100" w:line="247" w:lineRule="auto"/>
      </w:pPr>
    </w:p>
    <w:p>
      <w:pPr>
        <w:spacing w:after="100" w:line="247" w:lineRule="auto"/>
      </w:pPr>
      <w:r>
        <w:t>Для неприменимого параметра укажите «не применяется», для отсутствующего ограничения — «отсутствует», для нулевой суммы — «0». Каждый срок должен иметь начало отсчёта, единицу, вид дней и при необходимости часовой пояс. Нельзя заменять срок словами «по решению менеджера». Если публичны только общие условия, индивидуальные должны быть доступны конкретному партнёру до согласия; это не равно полной публичности для целей оценки программы.</w:t>
      </w:r>
    </w:p>
    <w:p>
      <w:pPr>
        <w:spacing w:after="100" w:line="247" w:lineRule="auto"/>
      </w:pPr>
      <w:r>
        <w:t>Условия включают доступный партнёру пример расчёта от клиентского события до суммы перевода, включая налоги, комиссии, возврат и дату выплаты. Пример должен соответствовать выбранной конфигурации и не вводить дополнительные ограничения.</w:t>
      </w:r>
    </w:p>
    <w:p>
      <w:pPr>
        <w:spacing w:after="100" w:line="247" w:lineRule="auto"/>
      </w:pPr>
      <w:r>
        <w:br w:type="page"/>
      </w:r>
    </w:p>
    <w:p>
      <w:pPr>
        <w:pStyle w:val="Title"/>
      </w:pPr>
      <w:r>
        <w:t>Публичная оферта об оказании услуг по привлечению клиентов</w:t>
      </w:r>
    </w:p>
    <w:p>
      <w:r>
        <w:t xml:space="preserve">Редакция: </w:t>
      </w:r>
      <w:r>
        <w:rPr>
          <w:highlight w:val="yellow"/>
        </w:rPr>
        <w:t>[[TBD: идентификатор и дата редакции текста]]</w:t>
      </w:r>
      <w:r>
        <w:t xml:space="preserve">. Адрес публикации: </w:t>
      </w:r>
      <w:r>
        <w:rPr>
          <w:highlight w:val="yellow"/>
        </w:rPr>
        <w:t>[[TBD: постоянный URL договора]]</w:t>
      </w:r>
      <w:r>
        <w:t>.</w:t>
      </w:r>
    </w:p>
    <w:p>
      <w:r>
        <w:rPr>
          <w:b/>
        </w:rPr>
        <w:t>Компания:</w:t>
      </w:r>
      <w:r>
        <w:t xml:space="preserve"> </w:t>
      </w:r>
      <w:r>
        <w:rPr>
          <w:highlight w:val="yellow"/>
        </w:rPr>
        <w:t>[[TBD: полное наименование / ФИО ИП]]</w:t>
      </w:r>
      <w:r>
        <w:t xml:space="preserve">, ИНН </w:t>
      </w:r>
      <w:r>
        <w:rPr>
          <w:highlight w:val="yellow"/>
        </w:rPr>
        <w:t>[[TBD: ИНН]]</w:t>
      </w:r>
      <w:r>
        <w:t xml:space="preserve">, ОГРН/ОГРНИП </w:t>
      </w:r>
      <w:r>
        <w:rPr>
          <w:highlight w:val="yellow"/>
        </w:rPr>
        <w:t>[[TBD: номер]]</w:t>
      </w:r>
      <w:r>
        <w:t xml:space="preserve">, адрес </w:t>
      </w:r>
      <w:r>
        <w:rPr>
          <w:highlight w:val="yellow"/>
        </w:rPr>
        <w:t>[[TBD: адрес для юридических сообщений]]</w:t>
      </w:r>
      <w:r>
        <w:t xml:space="preserve">, электронная почта </w:t>
      </w:r>
      <w:r>
        <w:rPr>
          <w:highlight w:val="yellow"/>
        </w:rPr>
        <w:t>[[TBD: адрес]]</w:t>
      </w:r>
      <w:r>
        <w:t>. Компания заказывает услуги, принимает их и отвечает за выплату вознаграждения Партнёру.</w:t>
      </w:r>
    </w:p>
    <w:p>
      <w:r>
        <w:rPr>
          <w:b/>
        </w:rPr>
        <w:t>Партнёр:</w:t>
      </w:r>
      <w:r>
        <w:t xml:space="preserve"> лицо, сведения о котором зафиксированы при заключении Договора по разделу 2. При участии организации от её имени действует уполномоченный представитель. Компания и Партнёр далее — Стороны.</w:t>
      </w:r>
    </w:p>
    <w:p>
      <w:pPr>
        <w:pStyle w:val="Heading1"/>
      </w:pPr>
      <w:r>
        <w:t>1. Договор и Условия программы</w:t>
      </w:r>
    </w:p>
    <w:p>
      <w:r>
        <w:t xml:space="preserve">1.1. Договор включает настоящий текст, применимую к Партнёру согласованную редакцию Условий программы и отдельно согласованные Сторонами приложения. Условия программы размещены по адресу </w:t>
      </w:r>
      <w:r>
        <w:rPr>
          <w:highlight w:val="yellow"/>
        </w:rPr>
        <w:t>[[TBD: точный URL программы и доступных до акцепта параметров в RevRoute]]</w:t>
      </w:r>
      <w:r>
        <w:t xml:space="preserve">, программа </w:t>
      </w:r>
      <w:r>
        <w:rPr>
          <w:highlight w:val="yellow"/>
        </w:rPr>
        <w:t>[[TBD: название и ID]]</w:t>
      </w:r>
      <w:r>
        <w:t>. Они определяют продукты, услуги, допустимых участников, атрибуцию, вознаграждение, документы, выплаты, продвижение, поддержку, изменения и завершение участия.</w:t>
      </w:r>
    </w:p>
    <w:p>
      <w:r>
        <w:t>1.2. Платформа RevRoute — инструмент управления партнёрской сетью, учёта, трекинга и автоматизации расчётов, предоставляемый индивидуальным предпринимателем Марчуком Александром Михайловичем, ИНН 372003235617, ОГРНИП 326760000015703. Лицо, предоставляющее Платформу, не является стороной настоящего Договора. Расчётный агент — указанное лицо, предоставляющее Платформу; он организует выплаты от имени и за счёт Компании на основании отдельного агентского договора с ней. Для программы применяется нетто-модель пункта 6.2 и порядок пункта 7.1.</w:t>
      </w:r>
    </w:p>
    <w:p>
      <w:r>
        <w:t>1.3. Компания предоставляет настоящий текст и общие Условия программы без необходимости регистрации. Применимые индивидуальные условия и условия группы предоставляет конкретному Партнёру до выражения согласия. Компания сохраняет согласованную редакцию, её дату, принадлежность Партнёру и доказательства заключения Договора, обеспечивает получение копии. Изменение текущей страницы не изменяет сохранённую редакцию автоматически.</w:t>
      </w:r>
    </w:p>
    <w:p>
      <w:r>
        <w:t>1.4. Индивидуально согласованное условие имеет приоритет в прямо указанной им части. Условия программы конкретизируют только предусмотренные Договором параметры; они не меняют Стороны, вид услуг и установленный порядок изменения Договора. Не согласованные с Партнёром внутренние инструкции Компании не ограничивают его права. При расхождении настройки и согласованной редакции Компания исправляет настройку и расчёт по согласованным условиям.</w:t>
      </w:r>
    </w:p>
    <w:p>
      <w:r>
        <w:t>1.5. До заключения Договора должны быть определимы все применимые параметры. Отсутствующие обязательные значения подлежат согласованию до начала услуг; пустое поле не означает согласия Партнёра с последующим усмотрением Компании. Продуктовые описания и реклама программы должны соответствовать договорным условиям.</w:t>
      </w:r>
    </w:p>
    <w:p>
      <w:pPr>
        <w:pStyle w:val="Heading1"/>
      </w:pPr>
      <w:r>
        <w:t>2. Заключение договора и электронные доказательства</w:t>
      </w:r>
    </w:p>
    <w:p>
      <w:r>
        <w:t>2.1. Компания предлагает заключить Договор каждому лицу, соответствующему опубликованным требованиям. Полным и безоговорочным акцептом является отправка Партнёром формы присоединения к указанной в пункте 1.1 программе после ознакомления с текстом Договора и применимыми Условиями программы и проставления отметки о согласии с ними. Договор заключён с момента получения такого акцепта Компанией через Платформу. Акцепт включает согласие с раскрытой формулой нетто-вознаграждения по пункту 6.2. Принятие правил использования сервиса оформляется в процессе доступа к сервису и не заменяет акцепт оферты конкретной Компании. Акцепт настоящей оферты оформляется отдельно от необходимых согласий на обработку персональных данных и согласия на рекламные сообщения. Необязательное согласие на рекламу не является условием участия.</w:t>
      </w:r>
    </w:p>
    <w:p>
      <w:r>
        <w:t>Регистрация и вход в общий кабинет RevRoute, предоставление доступа Компанией, импорт записи о Партнёре и направление приглашения сами по себе не являются акцептом. Для приглашённого или добавленного Компанией Партнёра до начала услуг обеспечивается личное подтверждение согласия с полным комплектом условий способом, позволяющим установить лицо, действие и принятую редакцию. Публикация оферты сама по себе не означает публичного договора в смысле статьи 426 ГК РФ.</w:t>
      </w:r>
    </w:p>
    <w:p>
      <w:r>
        <w:t>2.2. Допуск к оплачиваемой работе оформляется отдельно от заключения Договора — автоматически либо после проверки Компанией. Режим, объективные критерии, срок проверки и доведения результата установлены Условиями программы до акцепта. Компания сообщает Партнёру о допуске либо мотивированном отказе через согласованный канал. При автоматическом одобрении допуск может совпадать по времени с акцептом.</w:t>
      </w:r>
    </w:p>
    <w:p>
      <w:r>
        <w:t>До допуска Компания не поручает оплачиваемых услуг, если Стороны явно не согласовали иное. Отказ в допуске не означает, что ранее совершённого акцепта не было; прекращение Договора оформляется по разделу 12. Компания не вправе ссылаться на отсутствие технического статуса допуска, чтобы не оплатить услуги, которые она фактически поручила и приняла. Одобрение или смена группы не заменяют согласия Партнёра на изменение ранее принятых условий.</w:t>
      </w:r>
    </w:p>
    <w:p>
      <w:r>
        <w:t>2.3. Фиксируются сведения о Сторонах, полномочиях представителя, совершённом действии, времени, редакции текста, редакции параметров и группе Партнёра. Компания предоставляет подтверждение заключения Договора и принятого комплекта по согласованному каналу. Такая фиксация может обеспечиваться отдельным документом; автоматическое создание архива Платформой не предполагается.</w:t>
      </w:r>
    </w:p>
    <w:p>
      <w:r>
        <w:t xml:space="preserve">2.4. Документы и сообщения подписываются способом </w:t>
      </w:r>
      <w:r>
        <w:rPr>
          <w:highlight w:val="yellow"/>
        </w:rPr>
        <w:t>[[TBD: фактически применяемый способ электронной подписи либо подписания на бумаге]]</w:t>
      </w:r>
      <w:r>
        <w:t xml:space="preserve">. При простой электронной подписи согласованный порядок определяет, как устанавливается подписант, какие сведения или ключ используются, как сохраняется их конфиденциальность и доказывается связь подписи с конкретным документом: </w:t>
      </w:r>
      <w:r>
        <w:rPr>
          <w:highlight w:val="yellow"/>
        </w:rPr>
        <w:t>[[TBD: текст или ссылка на согласованный регламент]]</w:t>
      </w:r>
      <w:r>
        <w:t>. Правила доступны до первого подписания. Представитель подтверждает полномочия; доступ к общему почтовому ящику сам по себе их не создаёт.</w:t>
      </w:r>
    </w:p>
    <w:p>
      <w:r>
        <w:t>2.5. Стороны сохраняют конфиденциальность средств доступа и сообщают о компрометации по резервному каналу. Спор о принадлежности действия рассматривается с учётом всех доказательств; запись в кабинете не объявляется неопровержимой.</w:t>
      </w:r>
    </w:p>
    <w:p>
      <w:pPr>
        <w:pStyle w:val="Heading1"/>
      </w:pPr>
      <w:r>
        <w:t>3. Участники и налоговый статус</w:t>
      </w:r>
    </w:p>
    <w:p>
      <w:r>
        <w:t>3.1. Допустимые категории участников и ограничения территории указаны в Условиях программы. Партнёр сообщает достоверные идентификационные, налоговые и платёжные сведения, сведения о полномочиях, уведомляет об изменениях до следующего расчёта либо без промедления после обнаружения изменения. Компания проверяет сведения в объёме, необходимом для законного оформления и выплаты.</w:t>
      </w:r>
    </w:p>
    <w:p>
      <w:r>
        <w:t>3.1.1. Участвовать вправе юридические лица, индивидуальные предприниматели и физические лица, применяющие специальный налоговый режим «Налог на профессиональный доход» (НПД), в пределах категорий, указанных Компанией в Условиях программы. Физические лица, не зарегистрированные как ИП и не применяющие НПД, к участию не допускаются. Для ИП на НПД применяются также правила пункта 3.3.</w:t>
      </w:r>
    </w:p>
    <w:p>
      <w:r>
        <w:t xml:space="preserve">3.2. </w:t>
      </w:r>
      <w:r>
        <w:rPr>
          <w:b/>
        </w:rPr>
        <w:t>Для организаций и ИП.</w:t>
      </w:r>
      <w:r>
        <w:t xml:space="preserve"> Партнёр подтверждает регистрацию и полномочия представителя, сообщает применимый порядок налогообложения цены услуги, включая НДС. Каждая Сторона исполняет собственные налоговые обязанности. Налоговые удержания Компании производятся, когда этого требует закон.</w:t>
      </w:r>
    </w:p>
    <w:p>
      <w:r>
        <w:t xml:space="preserve">3.3. </w:t>
      </w:r>
      <w:r>
        <w:rPr>
          <w:b/>
        </w:rPr>
        <w:t>Для плательщиков НПД.</w:t>
      </w:r>
      <w:r>
        <w:t xml:space="preserve"> Партнёр применяет НПД только при соблюдении законных условий режима и применимости его к оказываемым услугам, сообщает об утрате права на режим и об обстоятельствах, исключающих его применение к доходу от Компании. Компания проверяет статус НПД применительно к дате каждой выплаты. При расчёте Партнёр формирует и передаёт надлежащий чек с Компанией в качестве заказчика в срок, установленный законом для данного способа расчёта, лично либо через законно уполномоченного участника процесса. Ошибки и аннулирование чека сопровождаются уведомлением и надлежащим исправлением. Правила чека не устанавливают обязанность выдать его до фактического расчёта вопреки закону. Компания организует проверку заказчика, суммы и действительности полученного чека, обработку его исправления или аннулирования. При автоматическом формировании подтверждаются полномочия участника процесса; при сбое применяется заранее определённый резервный порядок.</w:t>
      </w:r>
    </w:p>
    <w:p>
      <w:r>
        <w:t>3.4. Изменение статуса не аннулирует цену уже оказанных услуг. Компания определяет законный способ оформления и выплаты, уведомляет о требуемых сведениях и рассматривает вопрос в срок урегулирования, предусмотренный Условиями программы. Выплата не удерживается бессрочно в ожидании регистрации Партнёром желательного для Компании статуса.</w:t>
      </w:r>
    </w:p>
    <w:p>
      <w:pPr>
        <w:pStyle w:val="Heading1"/>
      </w:pPr>
      <w:r>
        <w:t>4. Услуги и полномочия</w:t>
      </w:r>
    </w:p>
    <w:p>
      <w:r>
        <w:t xml:space="preserve">4.1. Партнёр оказывает услуги по привлечению клиентов: </w:t>
      </w:r>
      <w:r>
        <w:rPr>
          <w:highlight w:val="yellow"/>
        </w:rPr>
        <w:t>[[TBD: фактически поручаемые действия, например рекомендации, демонстрации, организация знакомства или передача заявки]]</w:t>
      </w:r>
      <w:r>
        <w:t>, в отношении продуктов и категорий клиентов, определённых Условиями программы. Компания принимает услуги и оплачивает подтверждённые результаты по разделам 5–7. Конкретные действия и критерии результата раскрываются до начала работы.</w:t>
      </w:r>
    </w:p>
    <w:p>
      <w:r>
        <w:t>4.2. Партнёр не уполномочен заключать или изменять договоры с клиентами от имени Компании, принимать клиентские платежи, давать обязательные для Компании гарантии, устанавливать цены или предоставлять права на продукт. Договор с клиентом заключает и исполняет Компания. Для иных полномочий требуется отдельное надлежащее оформление.</w:t>
      </w:r>
    </w:p>
    <w:p>
      <w:r>
        <w:t>4.3. Участие бесплатно; для получения вознаграждения не требуется покупать продукт, вносить депозит или оплачивать активацию. Партнёр самостоятельно выбирает время, место и способы оказания услуг в пределах согласованных правил программы и закона, не подчиняется трудовому распорядку Компании и вправе работать с другими заказчиками. Предоставление кабинета, материалов и поддержки программы само по себе не устанавливает трудовой распорядок; фактические отношения должны соответствовать самостоятельному оказанию услуг. Стороны не гарантируют объём клиентов, доход или конверсию.</w:t>
      </w:r>
    </w:p>
    <w:p>
      <w:r>
        <w:t>4.4. Компания предоставляет достоверные сведения о продукте, применимые материалы, порядок передачи клиента и доступ к согласованной поддержке. Для передаваемых лидов Условия программы определяют сроки первого обращения к клиенту, квалификации и сообщения результата Партнёру, ответственного и эскалацию. Компания фиксирует действия и причину отказа; собственная просрочка Компании не служит основанием отменить закрепление клиента, если Партнёр выполнил согласованные условия атрибуции. Изменение продукта, его цены или доступности, влияющее на работу Партнёра, доводится до него по правилам Условий программы; оно не отменяет уже возникшие обязательства.</w:t>
      </w:r>
    </w:p>
    <w:p>
      <w:pPr>
        <w:pStyle w:val="Heading1"/>
      </w:pPr>
      <w:r>
        <w:t>5. Атрибуция и сведения о результате</w:t>
      </w:r>
    </w:p>
    <w:p>
      <w:r>
        <w:t>5.1. Клиент и событие относятся к Партнёру по опубликованным критериям допустимости, способам атрибуции и их приоритетам. Условия программы отдельно определяют окно учёта перехода, срок закрепления клиента и период повторных вознаграждений, начало каждого периода, правила существующих клиентов, дубликатов, самопокупок и конкурирующих заявок.</w:t>
      </w:r>
    </w:p>
    <w:p>
      <w:r>
        <w:t>5.2. Перечень оснований отклонения заявки и неподтверждения результата исчерпывающе установлен в согласованных Условиях программы. Приоритет другого партнёра объясняется в объёме, достаточном для проверки, без необоснованного раскрытия его или клиентских данных. Новые ограничения не применяются задним числом.</w:t>
      </w:r>
    </w:p>
    <w:p>
      <w:r>
        <w:t>5.3. Компания обеспечивает Партнёру сведения о его событиях, статусах и начислениях с установленной периодичностью обновления. Для проверки доступны идентификатор события, дата, применимая редакция, база, ставка/сумма, причина корректировки и состояние выплаты в пределах законного доступа к данным. Статистическая задержка отличается от отказа в вознаграждении.</w:t>
      </w:r>
    </w:p>
    <w:p>
      <w:r>
        <w:t>5.4. При сбое отслеживания или пропущенном событии Партнёр вправе представить подтверждения по каналу поддержки. Компания сверяет их с собственными данными и рассматривает вопрос в установленный срок, исправляет подтверждённое расхождение и сообщает результат. Само отсутствие записи в Платформе не исключает иные доказательства услуги и её результата.</w:t>
      </w:r>
    </w:p>
    <w:p>
      <w:r>
        <w:t>5.5. Удаление или перенос клиента в учётной системе, смена менеджера Компании либо платёжного канала не прекращают согласованную атрибуцию. Прямые последующие продажи учитываются в пределах выбранной модели и периода. «Закрепление клиента» определяет расчёт вознаграждения и не ограничивает свободу клиента выбирать контрагента.</w:t>
      </w:r>
    </w:p>
    <w:p>
      <w:pPr>
        <w:pStyle w:val="Heading1"/>
      </w:pPr>
      <w:r>
        <w:t>6. Вознаграждение и корректировки</w:t>
      </w:r>
    </w:p>
    <w:p>
      <w:r>
        <w:t>6.1. Оплачиваемое событие, размер и формула вознаграждения установлены согласованной редакцией Условий программы. Они включают модель, продукт, первую и повторные оплаты, базу, скидки, налоги в цене, частичные платежи, валюту и округление. Числовые KPI, лимиты, условия перехода между уровнями и сроки действия раскрываются заранее. Если дополнительное условие не согласовано, Компания не вправе использовать его для отказа в причитающемся вознаграждении.</w:t>
      </w:r>
    </w:p>
    <w:p>
      <w:r>
        <w:t>6.2. Применяется только нетто-модель расчётов через RevRoute. Валовая стоимость результата (бюджет V) определяется по параметрам награды Условий программы. Агентское вознаграждение RevRoute (A) рассчитывается от этого бюджета по формуле и ставке, раскрытым Партнёру до акцепта и согласованным Компанией с расчётным агентом. Цена услуг Партнёра (нетто-вознаграждение N) равна V за вычетом A. N является суммой до собственных налогов Партнёра; применимый порядок НДС в цене определяется Условиями программы и статусом Партнёра.</w:t>
      </w:r>
    </w:p>
    <w:p>
      <w:r>
        <w:t>Компания показывает в расчёте V, A и N. Партнёр принимает эту формулу вместе с Договором и Условиями программы. Его чек/первичный документ Компании оформляется на N; документы об агентском вознаграждении оформляются в отношениях Компании с RevRoute. Повторный вычет комиссии из N не допускается. Банковские расходы по номинальному счёту относятся на собственные средства расчётного агента по агентскому договору и дополнительно N не уменьшают. Изменение цены услуги через изменение комиссии подчиняется разделу 11; новая ставка агентского договора сама по себе не изменяет уже согласованную цену услуг Партнёра.</w:t>
      </w:r>
    </w:p>
    <w:p>
      <w:r>
        <w:t>6.3. Холд служит проверке заранее определённых условий результата. Начало, длительность, основания и предельный срок продления установлены Условиями программы. По окончании проверки Компания подтверждает результат либо направляет мотивированный отказ; отсутствие внутреннего согласования или финансирования само по себе не является основанием отмены.</w:t>
      </w:r>
    </w:p>
    <w:p>
      <w:r>
        <w:t>6.4. При возврате клиенту, отмене оплачиваемого события или ошибке расчёта корректируется только связанная с ним сумма по согласованной формуле. Частичный возврат учитывается в соответствующей части базы, если согласованная модель не предусматривает иной явно раскрытый расчёт. Компания показывает событие, основание, подтверждение и вычисление корректировки; Партнёр вправе её оспорить.</w:t>
      </w:r>
    </w:p>
    <w:p>
      <w:r>
        <w:t>6.5. Если сумма уже выплачена, Компания направляет требование о её возврате с расчётом и сроком по Условиям программы. Стороны могут оформить соглашение о зачёте; односторонний зачёт производится только при наличии предусмотренных законом условий с уведомлением Партнёра. Отрицательная запись в Платформе сама по себе не даёт права удержать любую другую выплату. Бесспорные суммы выплачиваются в обычном порядке.</w:t>
      </w:r>
    </w:p>
    <w:p>
      <w:pPr>
        <w:keepNext/>
      </w:pPr>
      <w:r>
        <w:rPr>
          <w:i/>
          <w:sz w:val="20"/>
        </w:rPr>
        <w:t>Пункт 6.6: оставить один вариант.</w:t>
      </w:r>
    </w:p>
    <w:p>
      <w:r>
        <w:t xml:space="preserve">6.6. </w:t>
      </w:r>
      <w:r>
        <w:rPr>
          <w:b/>
        </w:rPr>
        <w:t>А — один получатель.</w:t>
      </w:r>
      <w:r>
        <w:t xml:space="preserve"> По настоящей программе вознаграждение предусмотрено только Партнёру за его собственные услуги; участие других лиц не уменьшает его согласованную цену.</w:t>
      </w:r>
    </w:p>
    <w:p>
      <w:r>
        <w:t xml:space="preserve">6.6. </w:t>
      </w:r>
      <w:r>
        <w:rPr>
          <w:b/>
        </w:rPr>
        <w:t>Б — дополнительный получатель.</w:t>
      </w:r>
      <w:r>
        <w:t xml:space="preserve"> Компания отдельно заказывает и оплачивает услуги основного Партнёра по привлечению клиентов и услуги дополнительного Партнёра по привлечению участников программы и их сопровождению, если оно прямо предусмотрено. Конкретные действия, подтверждение результата и категории исполнителей определены в Условиях программы; с каждым получателем заключается самостоятельный договор. Компания является заказчиком услуг каждого получателя и должником перед ним. Настоящий Договор не создаёт обязанностей лица, которое его не заключало.</w:t>
      </w:r>
    </w:p>
    <w:p>
      <w:r>
        <w:t>Связь с пригласившим участником фиксируется при присоединении приглашённого Партнёра до оплачиваемого события и доступна для проверки затронутыми лицами в необходимом объёме. Ошибки исправляются с сохранением основания и истории; обычная смена связи применяется к будущим отношениям и не пересчитывает уже заработанное. Само нахождение в структуре без согласованной услуги не создаёт права на вознаграждение. Партнёру не поручаются субагентирование и выплаты за других участников.</w:t>
      </w:r>
    </w:p>
    <w:p>
      <w:r>
        <w:t>Бюджет каждого получателя определяется от согласованной базы клиентской продажи по отдельной формуле. Компания финансирует дополнительный бюджет сверх согласованного бюджета основного Партнёра. Из каждого бюджета комиссия по пункту 6.2 учитывается один раз; расчёт показывает V, A и N отдельно для каждого получателя. Если техническая настройка использует процент от другого начисления, Компания обеспечивает её математическое соответствие согласованной формуле.</w:t>
      </w:r>
    </w:p>
    <w:p>
      <w:r>
        <w:t>Условия программы заранее определяют периоды, повторные продажи и последствия выхода каждого получателя. Возврат клиента корректирует обе связанные суммы по их формулам и разделу 6; вопрос уже удержанного агентского вознаграждения решается по отдельному агентскому договору и не создаёт дополнительного вычета из N. Выход одного получателя не отменяет обязанности оплатить услуги, оказанные другим получателем. Для незавершённых результатов и последующих продаж применяются разделы 11–12.</w:t>
      </w:r>
    </w:p>
    <w:p>
      <w:pPr>
        <w:pStyle w:val="Heading1"/>
      </w:pPr>
      <w:r>
        <w:t>7. Приёмка, документы и выплаты</w:t>
      </w:r>
    </w:p>
    <w:p>
      <w:r>
        <w:t>7.1. Компания поручает расчётному агенту, указанному в пункте 1.2, организовать перечисление нетто-вознаграждения от имени и за счёт Компании на основании отдельного агентского договора. Компания обеспечивает подключение расчётов, необходимые сведения, корректный реестр и финансирование в срок, позволяющий соблюсти срок выплаты Партнёру.</w:t>
      </w:r>
    </w:p>
    <w:p>
      <w:r>
        <w:t>Средства для выплаты перечисляются Компанией со своего банковского счёта на номинальный счёт, открытый расчётному агенту в АО «ТБанк», либо в ином банке в порядке агентского договора. Владелец счёта — расчётный агент; бенефициар средств, учтённых за Компанией, — Компания. Средства учитываются отдельно от собственных средств агента и средств других компаний. Пополнение производится после подключения Компании и предоставления ей надлежащих реквизитов.</w:t>
      </w:r>
    </w:p>
    <w:p>
      <w:r>
        <w:t>Перечисление Партнёру производится после подтверждения результата и завершения согласованной проверки по реестру в пределах средств Компании. Из бюджета выделяются N Партнёру и A расчётному агенту по пункту 6.2. Само пополнение номинального счёта не является выплатой Партнёру; исполнение обязательства перед ним определяется поступлением причитающейся суммы по подтверждённым реквизитам в соответствии с применимым способом расчёта и законом. Объединённый перевод сопровождается расшифровкой по заказчикам и обязательствам.</w:t>
      </w:r>
    </w:p>
    <w:p>
      <w:r>
        <w:t>Компания остаётся заказчиком и должником перед Партнёром. Непополнение бюджета, задержка внутреннего согласования, прекращение агентского договора или невозможность отдельного канала не отменяют долг; Компания обеспечивает его законное исполнение без повторного уменьшения N. Номинальный счёт не создаёт обязанности банка или агента оплатить услуги из собственных средств при отсутствии бюджета Компании и не возлагает на них разрешение споров по настоящему Договору.</w:t>
      </w:r>
    </w:p>
    <w:p>
      <w:r>
        <w:t>7.2. Условия программы устанавливают расчётный период, состав документов по статусам, составителя и срок направления, приёмку и исправления, регулярный график/срок выплаты, необходимость запроса, денежный порог и способы перечисления. Число клиентов, объём продаж и другие KPI, если применяются, заранее определяют возникновение конкретного вознаграждения по пункту 6.1; они не становятся дополнительным условием выплаты уже заработанной суммы. Недостигнутый обычный денежный порог переносит остаток, но не погашает долг.</w:t>
      </w:r>
    </w:p>
    <w:p>
      <w:r>
        <w:t>7.3. Расчёт содержит подтверждённые события, корректировки, применимую формулу, цену услуги, обязательные удержания и сумму перевода. Стороны оформляют акт, УПД или иной надлежащий первичный документ в случаях и порядке, предусмотренных законом и Условиями программы. Реестр событий и отчёт расчётного агента Компании не заменяют документ об услугах Партнёра автоматически.</w:t>
      </w:r>
    </w:p>
    <w:p>
      <w:pPr>
        <w:keepNext/>
      </w:pPr>
      <w:r>
        <w:rPr>
          <w:i/>
          <w:sz w:val="20"/>
        </w:rPr>
        <w:t>Оставить А или Б в пункте 7.4.</w:t>
      </w:r>
    </w:p>
    <w:p>
      <w:r>
        <w:t xml:space="preserve">7.4. </w:t>
      </w:r>
      <w:r>
        <w:rPr>
          <w:b/>
        </w:rPr>
        <w:t>А — подписание.</w:t>
      </w:r>
      <w:r>
        <w:t xml:space="preserve"> Получившая документы Сторона в установленный срок подписывает их либо направляет мотивированные возражения по конкретным строкам. Стороны исправляют расхождения по установленной процедуре. Отсутствие подписи само по себе не означает приёмки и не исключает доказывания фактического исполнения.</w:t>
      </w:r>
    </w:p>
    <w:p>
      <w:r>
        <w:t xml:space="preserve">7.4. </w:t>
      </w:r>
      <w:r>
        <w:rPr>
          <w:b/>
        </w:rPr>
        <w:t>Б — приёмка при отсутствии возражений.</w:t>
      </w:r>
      <w:r>
        <w:t xml:space="preserve"> Если документы доставлены согласованным способом, доступны для проверки и в установленный срок не поступили мотивированные возражения, услуги по указанным в них событиям считаются принятыми. Срок начинается с доказуемой доставки. При возражении по отдельным строкам бесспорная часть принимается и оплачивается отдельно; спорные строки рассматриваются в срок урегулирования по Условиям программы. Явные ошибки и подтверждённые последующие возвраты обрабатываются по разделу 6.</w:t>
      </w:r>
    </w:p>
    <w:p>
      <w:r>
        <w:t>7.5. Компания не обусловливает выплату уже заработанного вознаграждения привлечением новых клиентов или пополнением Партнёром бюджета. Компания выплачивает бесспорную часть в предусмотренный срок независимо от проверки иных событий. Просрочка подготовки, направления или подписания документов по вине Компании не переносит срок оплаты доказанных и бесспорных услуг; срок определяется так, как если бы Компания выполнила свои действия своевременно. Правила окончательного расчёта ниже обычного порога установлены разделом 12.</w:t>
      </w:r>
    </w:p>
    <w:p>
      <w:r>
        <w:t>7.6. Платёжные реквизиты и допустимый способ выплаты подтверждаются Партнёром. При возврате перевода или неверных реквизитах Компания сообщает причину и способ исправления; долг сохраняется. Стороны устраняют препятствие и проводят расчёт в срок, установленный Условиями программы с учётом обязательных требований закона. Блокировка доступа к кабинету не лишает Партнёра права получить расчёт и документы через резервный канал.</w:t>
      </w:r>
    </w:p>
    <w:p>
      <w:pPr>
        <w:pStyle w:val="Heading1"/>
      </w:pPr>
      <w:r>
        <w:t>8. Продвижение, материалы и бренд</w:t>
      </w:r>
    </w:p>
    <w:p>
      <w:r>
        <w:t>8.1. Партнёр использует достоверные сведения, соблюдает согласованные каналы и ограничения, не выдаёт себя за Компанию, не делает несогласованных обещаний. Условия программы определяют допустимость брендового контекста, промокодных площадок, мотивированного трафика, рассылок, самопокупок и иных существенных методов. Общая фраза о запрете нарушений не заменяет этот перечень. Партнёр не представляет оплачиваемую рекомендацию как независимую безвозмездную оценку; раскрывает возможность получить вознаграждение в понятной адресату форме по согласованным правилам. Такое раскрытие не заменяет обязательную рекламную маркировку.</w:t>
      </w:r>
    </w:p>
    <w:p>
      <w:pPr>
        <w:keepNext/>
      </w:pPr>
      <w:r>
        <w:rPr>
          <w:i/>
          <w:sz w:val="20"/>
        </w:rPr>
        <w:t>Оставить один вариант пункта 8.2.</w:t>
      </w:r>
    </w:p>
    <w:p>
      <w:r>
        <w:t xml:space="preserve">8.2. </w:t>
      </w:r>
      <w:r>
        <w:rPr>
          <w:b/>
        </w:rPr>
        <w:t>А — индивидуальные знакомства.</w:t>
      </w:r>
      <w:r>
        <w:t xml:space="preserve"> Предмет ограничен индивидуальными рекомендациями и знакомством сторон в согласованном порядке. Публичное продвижение требует отдельного предварительного согласования. Даже при индивидуальном общении Стороны проверяют применимые требования к рекламе и контактам с адресатами по содержанию и обстоятельствам сообщения.</w:t>
      </w:r>
    </w:p>
    <w:p>
      <w:r>
        <w:t xml:space="preserve">8.2. </w:t>
      </w:r>
      <w:r>
        <w:rPr>
          <w:b/>
        </w:rPr>
        <w:t>Б — публичное продвижение.</w:t>
      </w:r>
      <w:r>
        <w:t xml:space="preserve"> Допускаются согласованные в Условиях программы виды размещений. Для каждого рекламного сценария до размещения Стороны определяют рекламодателя, рекламораспространителя, выбранного оператора рекламных данных (ОРД), ответственного за получение и размещение идентификатора рекламы, маркировку, передачу сведений о договорах, актах и статистике и исправление данных, а также сроки и расходы. Распределение действий, конкретные исполнители, сроки передачи исходных данных и подтверждений фиксируются в Условиях программы или отдельном согласованном документе до первого размещения. До размещения выполняются требования, подлежащие исполнению до его начала; сведения о размещении передаются в применимые сроки. Стороны своевременно предоставляют назначенному исполнителю необходимые сведения и сохраняют подтверждения выполнения своих действий. Поручение технических действий не устраняет установленную законом ответственность каждого участника.</w:t>
      </w:r>
    </w:p>
    <w:p>
      <w:r>
        <w:t>8.3. Когда сообщение является рекламой, Стороны исполняют применимые требования законодательства, включая маркировку, получение и размещение идентификатора и передачу данных в Единый реестр интернет-рекламы (ЕРИР) при их обязательности. Для рекламных рассылок и прямых рекламных контактов обеспечиваются необходимые предварительные согласия, доказательства и прекращение по требованию адресата. Обязательные рекламные отчисления уплачиваются лицом, на которое законом возложена эта обязанность, при наличии основания; они не вычитаются из цены услуги Партнёра произвольно.</w:t>
      </w:r>
    </w:p>
    <w:p>
      <w:r>
        <w:t>8.4. Компания предоставляет материалы с разрешением использовать их в согласованных целях, способами и в течение срока участия; объём разрешения и ограничения определены в Условиях программы. Предоставление логотипа не разрешает регистрацию сходных доменов и знаков, изменение материалов либо иное использование за пределами согласованного. Если требуется отдельное лицензионное оформление, оно должно предшествовать использованию.</w:t>
      </w:r>
    </w:p>
    <w:p>
      <w:r>
        <w:t>8.5. Стороны в согласованном порядке исправляют ошибочные сведения, прекращают несогласованное размещение и сохраняют доказательства исполнения обязательных рекламных действий. Учёт событий и вознаграждений в RevRoute сам по себе не возлагает на сервис функции ОРД или подготовку рекламной отчётности.</w:t>
      </w:r>
    </w:p>
    <w:p>
      <w:pPr>
        <w:pStyle w:val="Heading1"/>
      </w:pPr>
      <w:r>
        <w:t>9. Персональные данные и конфиденциальность</w:t>
      </w:r>
    </w:p>
    <w:p>
      <w:r>
        <w:t>9.1. Каждая Сторона определяет и исполняет обязанности по обработке персональных данных в соответствии со своими фактическими целями и действиями. Для каждой цели выбирается применимое правовое основание; согласие не подменяет другие предусмотренные законом основания и не требуется автоматически для любой обработки. Данные самого Партнёра и представителя, данные привлечённых клиентов и сведения посетителей рассматриваются раздельно. Обработка по поручению другой Стороны или с привлечением сервиса оформляется надлежащим поручением, когда оно требуется. Настоящий Договор сам по себе не является согласием клиента на обработку или передачу его данных.</w:t>
      </w:r>
    </w:p>
    <w:p>
      <w:pPr>
        <w:keepNext/>
      </w:pPr>
      <w:r>
        <w:rPr>
          <w:i/>
          <w:sz w:val="20"/>
        </w:rPr>
        <w:t>Оставить обеспеченные пути передачи данных; применимые документы разместить по указанным ссылкам до начала сбора.</w:t>
      </w:r>
    </w:p>
    <w:p>
      <w:r>
        <w:t>9.2. Применяются следующие выбранные способы передачи данных:</w:t>
      </w:r>
    </w:p>
    <w:p>
      <w:r>
        <w:t xml:space="preserve">9.2.1. </w:t>
      </w:r>
      <w:r>
        <w:rPr>
          <w:b/>
        </w:rPr>
        <w:t>А — обращение клиента.</w:t>
      </w:r>
      <w:r>
        <w:t xml:space="preserve"> Партнёр направляет клиенту ссылку; клиент сам передаёт данные Компании через форму, в которой Компания обеспечивает информацию об обработке и необходимые отдельные согласия. Партнёр не получает доступ к данным сверх необходимого для подтверждения своего результата.</w:t>
      </w:r>
    </w:p>
    <w:p>
      <w:r>
        <w:t xml:space="preserve">9.2.2. </w:t>
      </w:r>
      <w:r>
        <w:rPr>
          <w:b/>
        </w:rPr>
        <w:t>Б — передача партнёром.</w:t>
      </w:r>
      <w:r>
        <w:t xml:space="preserve"> Партнёр передаёт только согласованные категории данных для согласованных целей и получателей по Условиям программы при наличии надлежащего правового основания. До передачи он обеспечивает необходимые информирование и согласие либо иное применимое основание, сохраняет подтверждение и предоставляет его в необходимом объёме при проверке. Компания обеспечивает законность последующей обработки и обязанности при получении данных не от субъекта. Передача клиентской базы без такого основания не допускается.</w:t>
      </w:r>
    </w:p>
    <w:p>
      <w:r>
        <w:t xml:space="preserve">9.3. Применимые документы: </w:t>
      </w:r>
      <w:r>
        <w:rPr>
          <w:highlight w:val="yellow"/>
        </w:rPr>
        <w:t>[[TBD: политика Компании, отдельные формы согласий, поручение при его необходимости и другие документы для выбранного пути]]</w:t>
      </w:r>
      <w:r>
        <w:t>. Поручение определяет перечни данных и операций, цели, требования к конфиденциальности, локализации по части 5 статьи 18 Закона №152-ФЗ, мерам по статьям 18.1 и 19 указанного закона, предоставлению подтверждающих документов и информации по запросу оператора, уведомлению оператора об инцидентах в порядке части 3 статьи 6. Устанавливаются допустимые подрядчики, распределение обязанностей и срок сообщения, позволяющий оператору соблюсти обязательные сроки закона. При поручении обработки другому лицу обеспечивается согласие субъекта, если федеральным законом не предусмотрено иное. Для RevRoute разграничиваются обработка по поручению Компании и собственные цели сервиса; одна ссылка на политику сервиса не заменяет документы Компании.</w:t>
      </w:r>
    </w:p>
    <w:p>
      <w:r>
        <w:t>Когда обработка основана на согласии, оно оформляется отдельно от иных подтверждаемых субъектом документов; акцепт настоящего Договора его не заменяет. Получающая согласие Сторона сохраняет текст, редакцию и подтверждение получения. Ознакомление с политикой не заменяет требуемого согласия. Передача определённым получателям требует применимого основания и соблюдения требований закона; второй отдельный документ на любую передачу автоматически не устанавливается. Для случаев обязательного письменного согласия или распространения неопределённому кругу применяются специальные требования закона.</w:t>
      </w:r>
    </w:p>
    <w:p>
      <w:r>
        <w:t>9.4. Стороны минимизируют данные, ограничивают доступ, соблюдают применимые сроки хранения и порядок удаления, обеспечивают рассмотрение обращений субъектов, направление сообщений об инцидентах и применение мер защиты. Договорные сроки взаимодействия не продлевают обязательные сроки закона. Полученные данные нельзя использовать для посторонних рассылок или иных несогласованных целей.</w:t>
      </w:r>
    </w:p>
    <w:p>
      <w:r>
        <w:t>Сторона, размещающая средства трекинга и cookie на своей площадке, обеспечивает необходимое информирование и правовое основание обработки, а когда требуется — согласие, с учётом используемых средств и данных. Условия программы определяют ответственных и ссылки на применимые уведомления. Принятие Партнёром Договора не является согласием посетителей его или клиентской площадки.</w:t>
      </w:r>
    </w:p>
    <w:p>
      <w:r>
        <w:t>9.5. Непубличные индивидуальные условия, клиентские сведения и иная обозначенная как конфиденциальная коммерческая информация используются только для исполнения Договора. Допускается необходимое раскрытие сотрудникам и консультантам, обязанным сохранять конфиденциальность, по закону и для защиты прав. Публичные условия и общедоступные сведения к такой информации не относятся. Обязанность конфиденциальности не препятствует получению расчётов, обращению в суд или законной передаче документов уполномоченным органам.</w:t>
      </w:r>
    </w:p>
    <w:p>
      <w:pPr>
        <w:pStyle w:val="Heading1"/>
      </w:pPr>
      <w:r>
        <w:t>10. Проверки, нарушения и ответственность</w:t>
      </w:r>
    </w:p>
    <w:p>
      <w:r>
        <w:t>10.1. Компания вправе проверять соблюдение согласованных правил. При подозрении на нарушение она сообщает Партнёру спорное событие, основание, доступные подтверждения, запрошенные пояснения, срок и порядок рассмотрения. Приостановление ограничивается необходимыми действиями и связанными спорными суммами; предельный срок определён в Условиях программы. Бесспорные обязательства продолжают исполняться.</w:t>
      </w:r>
    </w:p>
    <w:p>
      <w:r>
        <w:t>10.2. Решение содержит мотивы и расчёт последствий. Отклонение или отмена начисления допустимы только по заранее согласованному исчерпывающему перечню оснований либо обязательному требованию закона. Изменение статуса записи, прекращение участия или подозрение в нарушении не аннулируют весь баланс автоматически.</w:t>
      </w:r>
    </w:p>
    <w:p>
      <w:r>
        <w:t>10.3. Партнёр вправе представить возражения и доказательства через указанный канал, получить первый ответ и решение в сроки Условий программы, затем обратиться к указанному ответственному за эскалацию. Внутреннее рассмотрение не лишает права на предусмотренные законом способы защиты.</w:t>
      </w:r>
    </w:p>
    <w:p>
      <w:r>
        <w:t>10.4. Стороны отвечают за нарушение обязательств по закону и Договору. Корректировка цены услуги, возврат излишне выплаченного и возмещение доказанных убытков являются разными основаниями; двойное взыскание одной и той же суммы не допускается. Неустойка за предусмотренное нарушение применяется при отдельном надлежащем согласовании. Возмещение потерь при обстоятельствах, не связанных с нарушением обязательства, может согласовываться отдельно при соблюдении статьи 406.1 ГК РФ. Настоящий Договор сам по себе таких обязательств не устанавливает.</w:t>
      </w:r>
    </w:p>
    <w:p>
      <w:r>
        <w:t>10.5. Отсутствие денег у Компании или неисправность отдельного учётного инструмента сами по себе не освобождают от оплаты. При чрезвычайных и непредотвратимых обстоятельствах применяются установленные законом основания и пределы освобождения от ответственности; затронутая Сторона сообщает обстоятельства и принимает разумные меры к уменьшению последствий. Долг за оказанные услуги не прекращается только вследствие такого уведомления.</w:t>
      </w:r>
    </w:p>
    <w:p>
      <w:pPr>
        <w:pStyle w:val="Heading1"/>
      </w:pPr>
      <w:r>
        <w:t>11. Редакции и изменение условий</w:t>
      </w:r>
    </w:p>
    <w:p>
      <w:r>
        <w:t>11.1. Для действующего Партнёра изменения согласовываются Сторонами с фиксацией содержания, даты и затронутых отношений, кроме случаев допустимого законом и прямо согласованного одностороннего изменения. Публикация новой страницы и изменение настройки сами по себе не доказывают согласие Партнёра. Для новых договоров Компания вправе предложить новую редакцию.</w:t>
      </w:r>
    </w:p>
    <w:p>
      <w:r>
        <w:t>11.2. Условия программы устанавливают событие разграничения редакций: присоединение, закрепление клиента, заказ или иной однозначный факт. К событиям, наступившим до изменения, применяются действовавшие для них условия, даже если проверка, подтверждение или выплата завершатся позднее. Ранее подтверждённое вознаграждение сохраняется. Для ранее закреплённых клиентов прежние условия повторных начислений сохраняются на согласованный период, если Стороны отдельно явно не согласовали иное. Уведомление различает уже начисленные суммы и будущие оплаты старых клиентов.</w:t>
      </w:r>
    </w:p>
    <w:p>
      <w:r>
        <w:t>11.3. Уведомление содержит прежние и новые условия, дату вступления в силу, круг затронутых клиентов/событий и способ выражения согласия, когда оно необходимо. Срок и каналы определены Условиями программы. Смена группы или уменьшение чистой цены услуги через новую комиссию рассматриваются как изменение условий, если влияют на права Партнёра.</w:t>
      </w:r>
    </w:p>
    <w:p>
      <w:pPr>
        <w:keepNext/>
      </w:pPr>
      <w:r>
        <w:rPr>
          <w:i/>
          <w:sz w:val="20"/>
        </w:rPr>
        <w:t>Опциональный пункт 11.4 включать только после проверки правовой допустимости для фактического состава сторон; иначе удалить целиком.</w:t>
      </w:r>
    </w:p>
    <w:p>
      <w:r>
        <w:t xml:space="preserve">11.4. Компания вправе в одностороннем порядке изменять только </w:t>
      </w:r>
      <w:r>
        <w:rPr>
          <w:highlight w:val="yellow"/>
        </w:rPr>
        <w:t>[[TBD: закрытый перечень параметров и пределы изменения, допустимые для выбранных сторон]]</w:t>
      </w:r>
      <w:r>
        <w:t>. Компания заблаговременно доводит изменения до Партнёра способом и в срок, установленные Условиями программы. Изменения действуют для определённых там новых отношений и не затрагивают защищённые пунктом 11.2 обязательства. Если по закону требуется согласие, применяется пункт 11.1. Партнёр вправе прекратить участие с окончательным расчётом по разделу 12.</w:t>
      </w:r>
    </w:p>
    <w:p>
      <w:r>
        <w:t>11.5. Компания сохраняет старую и новую редакции, доказательства уведомления/согласия и обеспечивает расчёт по применимой редакции. При невозможности корректного автоматического расчёта организуется проверяемый ручной расчёт, доступный Партнёру для сверки.</w:t>
      </w:r>
    </w:p>
    <w:p>
      <w:pPr>
        <w:pStyle w:val="Heading1"/>
      </w:pPr>
      <w:r>
        <w:t>12. Прекращение участия и окончательный расчёт</w:t>
      </w:r>
    </w:p>
    <w:p>
      <w:r>
        <w:t>12.1. Договор действует с момента заключения до прекращения по соглашению, предусмотренному законом основанию или одностороннему отказу с соблюдением закона. Порядок и срок уведомления определены Условиями программы с учётом императивных правил. При отказе Компании как заказчика возмещаются фактически понесённые расходы Партнёра; при отказе Партнёра как исполнителя применяются правила полного возмещения убытков заказчику по статье 782 ГК РФ в предусмотренных законом пределах. Двойной учёт одних сумм не допускается.</w:t>
      </w:r>
    </w:p>
    <w:p>
      <w:r>
        <w:t>12.2. С прекращением участия прекращается поручение новых услуг. Условия программы заранее определяют судьбу заявок и событий, возникших до прекращения, а также последующих оплат ранее закреплённых клиентов. Согласованный период повторного вознаграждения по таким клиентам сохраняется по пункту 11.2, если Стороны явно не согласовали иное допустимое условие. Будущие платежи и уже существующий долг учитываются раздельно.</w:t>
      </w:r>
    </w:p>
    <w:p>
      <w:r>
        <w:t>12.3. Компания составляет окончательный расчёт, принимает оказанные услуги и выплачивает бесспорные причитающиеся суммы в установленный Условиями программы предельный срок, включая остаток ниже обычного порога выплаты и без требования привлечь новых клиентов. Результаты, которые объективно могут подтвердиться позднее, перечисляются отдельно с основанием, сроком проверки и последующей выплаты. Закрытие или удаление кабинета не погашает задолженность.</w:t>
      </w:r>
    </w:p>
    <w:p>
      <w:r>
        <w:t>12.4. Партнёр прекращает использование материалов и обозначений за пределами сохраняющихся законных оснований. Стороны сохраняют доступ к необходимым расчётам и копиям документов через согласованный или резервный канал; данные хранятся и удаляются с учётом закона и необходимости защиты прав. Обязательства по расчётам, законным корректировкам и конфиденциальности сохраняются в соответствующей части после прекращения Договора.</w:t>
      </w:r>
    </w:p>
    <w:p>
      <w:pPr>
        <w:pStyle w:val="Heading1"/>
      </w:pPr>
      <w:r>
        <w:t>13. Поддержка, сообщения и споры</w:t>
      </w:r>
    </w:p>
    <w:p>
      <w:r>
        <w:t>13.1. Условия программы содержат контакт конкретного сотрудника или ответственное лицо по работе с партнёрами, канал поддержки, срок первого ответа, срок разрешения обращения и путь эскалации. Эти сроки относятся к обязательствам Компании; настоящий Договор не устанавливает требования к уровню обслуживания со стороны сервиса RevRoute.</w:t>
      </w:r>
    </w:p>
    <w:p>
      <w:r>
        <w:t xml:space="preserve">13.2. Юридически значимые сообщения направляются через согласованные идентифицируемые каналы. Резервный канал Компании: </w:t>
      </w:r>
      <w:r>
        <w:rPr>
          <w:highlight w:val="yellow"/>
        </w:rPr>
        <w:t>[[TBD: адрес]]</w:t>
      </w:r>
      <w:r>
        <w:t>; канал Партнёра зафиксирован при присоединении. Стороны сообщают об изменении адресов. Факт и момент доставки определяются законом и согласованным порядком; одна публикация на странице программы не заменяет персональное уведомление, когда оно требуется Договором.</w:t>
      </w:r>
    </w:p>
    <w:p>
      <w:r>
        <w:t>13.3. Претензия включает событие, требование и доступные подтверждения. Компания предоставляет мотивированный ответ в срок Условий программы. Договорный срок ответа не подменяет обязательный досудебный порядок и не ограничивает установленные законом сроки и средства защиты.</w:t>
      </w:r>
    </w:p>
    <w:p>
      <w:r>
        <w:t>13.4. Применяется право Российской Федерации. Спор рассматривает компетентный суд по правилам подведомственности и подсудности, установленным процессуальным законодательством. Статус плательщика НПД без ИП сам по себе не означает, что все споры относятся к арбитражному суду.</w:t>
      </w:r>
    </w:p>
    <w:p>
      <w:pPr>
        <w:pStyle w:val="Heading1"/>
      </w:pPr>
      <w:r>
        <w:t>14. Реквизиты и копия договорного комплекта</w:t>
      </w:r>
    </w:p>
    <w:p>
      <w:r>
        <w:t>14.1. Реквизиты Компании приведены в начале Договора; сведения Партнёра и представителя — в подтверждении заключения. Изменение реквизитов не заменяет Сторону. Согласованный способ выплаты и подтверждённые реквизиты получателя доступны Сторонам в рамках исполнения Договора.</w:t>
      </w:r>
    </w:p>
    <w:p>
      <w:r>
        <w:t>14.2. Партнёр вправе получить копию текста, применимых к нему параметров, подтверждения заключения и необходимых расчётных документов по каналу пункта 13.2. Компания предоставляет их в срок выдачи копий, установленный Условиями программы, с соблюдением ограничений доступа к чужим данным.</w:t>
      </w:r>
    </w:p>
    <w:p>
      <w:r>
        <w:br w:type="page"/>
      </w:r>
    </w:p>
    <w:p>
      <w:pPr>
        <w:pStyle w:val="Heading1"/>
      </w:pPr>
      <w:r>
        <w:t>Подтверждение заключения договора</w:t>
      </w:r>
    </w:p>
    <w:p>
      <w:r>
        <w:t>Не заменяет акт оказанных услуг. Формируется документом или доступной записью с сохранением содержания; автоматическое формирование Платформой должно быть проверено отдельно.</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632"/>
      </w:tblGrid>
      <w:tr>
        <w:trPr>
          <w:cantSplit/>
          <w:tblHeader/>
        </w:trPr>
        <w:tc>
          <w:tcPr>
            <w:tcW w:type="dxa" w:w="2448"/>
            <w:vAlign w:val="center"/>
            <w:tcMar>
              <w:top w:w="70" w:type="dxa"/>
              <w:bottom w:w="70" w:type="dxa"/>
              <w:left w:w="100" w:type="dxa"/>
              <w:right w:w="100" w:type="dxa"/>
            </w:tcMar>
            <w:shd w:fill="E5EDF1"/>
          </w:tcPr>
          <w:p>
            <w:pPr>
              <w:keepNext/>
              <w:spacing w:after="0" w:line="250" w:lineRule="auto"/>
            </w:pPr>
            <w:r>
              <w:rPr>
                <w:b/>
                <w:sz w:val="20"/>
              </w:rPr>
              <w:t>Сведения</w:t>
            </w:r>
          </w:p>
        </w:tc>
        <w:tc>
          <w:tcPr>
            <w:tcW w:type="dxa" w:w="7632"/>
            <w:vAlign w:val="center"/>
            <w:tcMar>
              <w:top w:w="70" w:type="dxa"/>
              <w:bottom w:w="70" w:type="dxa"/>
              <w:left w:w="100" w:type="dxa"/>
              <w:right w:w="100" w:type="dxa"/>
            </w:tcMar>
            <w:shd w:fill="E5EDF1"/>
          </w:tcPr>
          <w:p>
            <w:pPr>
              <w:keepNext/>
              <w:spacing w:after="0" w:line="250" w:lineRule="auto"/>
            </w:pPr>
            <w:r>
              <w:rPr>
                <w:b/>
                <w:sz w:val="20"/>
              </w:rPr>
              <w:t>Заполняется при заключении</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Компания и Партнёр</w:t>
            </w:r>
          </w:p>
        </w:tc>
        <w:tc>
          <w:tcPr>
            <w:tcW w:type="dxa" w:w="7632"/>
            <w:vAlign w:val="center"/>
            <w:tcMar>
              <w:top w:w="70" w:type="dxa"/>
              <w:bottom w:w="70" w:type="dxa"/>
              <w:left w:w="100" w:type="dxa"/>
              <w:right w:w="100" w:type="dxa"/>
            </w:tcMar>
          </w:tcPr>
          <w:p>
            <w:pPr>
              <w:keepNext w:val="0"/>
              <w:spacing w:after="0" w:line="250" w:lineRule="auto"/>
            </w:pPr>
            <w:r>
              <w:rPr>
                <w:sz w:val="20"/>
              </w:rPr>
              <w:t>Наименование/ФИО, ИНН и статус; необходимые реквизиты</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Представитель</w:t>
            </w:r>
          </w:p>
        </w:tc>
        <w:tc>
          <w:tcPr>
            <w:tcW w:type="dxa" w:w="7632"/>
            <w:vAlign w:val="center"/>
            <w:tcMar>
              <w:top w:w="70" w:type="dxa"/>
              <w:bottom w:w="70" w:type="dxa"/>
              <w:left w:w="100" w:type="dxa"/>
              <w:right w:w="100" w:type="dxa"/>
            </w:tcMar>
          </w:tcPr>
          <w:p>
            <w:pPr>
              <w:keepNext w:val="0"/>
              <w:spacing w:after="0" w:line="250" w:lineRule="auto"/>
            </w:pPr>
            <w:r>
              <w:rPr>
                <w:sz w:val="20"/>
              </w:rPr>
              <w:t>ФИО, основание полномочий и подтверждение</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Программа и группа</w:t>
            </w:r>
          </w:p>
        </w:tc>
        <w:tc>
          <w:tcPr>
            <w:tcW w:type="dxa" w:w="7632"/>
            <w:vAlign w:val="center"/>
            <w:tcMar>
              <w:top w:w="70" w:type="dxa"/>
              <w:bottom w:w="70" w:type="dxa"/>
              <w:left w:w="100" w:type="dxa"/>
              <w:right w:w="100" w:type="dxa"/>
            </w:tcMar>
          </w:tcPr>
          <w:p>
            <w:pPr>
              <w:keepNext w:val="0"/>
              <w:spacing w:after="0" w:line="250" w:lineRule="auto"/>
            </w:pPr>
            <w:r>
              <w:rPr>
                <w:sz w:val="20"/>
              </w:rPr>
              <w:t>ID, название, применимая группа</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Текст Договора</w:t>
            </w:r>
          </w:p>
        </w:tc>
        <w:tc>
          <w:tcPr>
            <w:tcW w:type="dxa" w:w="7632"/>
            <w:vAlign w:val="center"/>
            <w:tcMar>
              <w:top w:w="70" w:type="dxa"/>
              <w:bottom w:w="70" w:type="dxa"/>
              <w:left w:w="100" w:type="dxa"/>
              <w:right w:w="100" w:type="dxa"/>
            </w:tcMar>
          </w:tcPr>
          <w:p>
            <w:pPr>
              <w:keepNext w:val="0"/>
              <w:spacing w:after="0" w:line="250" w:lineRule="auto"/>
            </w:pPr>
            <w:r>
              <w:rPr>
                <w:sz w:val="20"/>
              </w:rPr>
              <w:t>Дата, идентификатор и сохраняемая копия</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Условия программы</w:t>
            </w:r>
          </w:p>
        </w:tc>
        <w:tc>
          <w:tcPr>
            <w:tcW w:type="dxa" w:w="7632"/>
            <w:vAlign w:val="center"/>
            <w:tcMar>
              <w:top w:w="70" w:type="dxa"/>
              <w:bottom w:w="70" w:type="dxa"/>
              <w:left w:w="100" w:type="dxa"/>
              <w:right w:w="100" w:type="dxa"/>
            </w:tcMar>
          </w:tcPr>
          <w:p>
            <w:pPr>
              <w:keepNext w:val="0"/>
              <w:spacing w:after="0" w:line="250" w:lineRule="auto"/>
            </w:pPr>
            <w:r>
              <w:rPr>
                <w:sz w:val="20"/>
              </w:rPr>
              <w:t>Дата, идентификатор и сохраняемая копия всего применимого набора</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Модель заключения</w:t>
            </w:r>
          </w:p>
        </w:tc>
        <w:tc>
          <w:tcPr>
            <w:tcW w:type="dxa" w:w="7632"/>
            <w:vAlign w:val="center"/>
            <w:tcMar>
              <w:top w:w="70" w:type="dxa"/>
              <w:bottom w:w="70" w:type="dxa"/>
              <w:left w:w="100" w:type="dxa"/>
              <w:right w:w="100" w:type="dxa"/>
            </w:tcMar>
          </w:tcPr>
          <w:p>
            <w:pPr>
              <w:keepNext w:val="0"/>
              <w:spacing w:after="0" w:line="250" w:lineRule="auto"/>
            </w:pPr>
            <w:r>
              <w:rPr>
                <w:sz w:val="20"/>
              </w:rPr>
              <w:t>Публичная оферта Компании; отправка формы с согласием</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Акцепт</w:t>
            </w:r>
          </w:p>
        </w:tc>
        <w:tc>
          <w:tcPr>
            <w:tcW w:type="dxa" w:w="7632"/>
            <w:vAlign w:val="center"/>
            <w:tcMar>
              <w:top w:w="70" w:type="dxa"/>
              <w:bottom w:w="70" w:type="dxa"/>
              <w:left w:w="100" w:type="dxa"/>
              <w:right w:w="100" w:type="dxa"/>
            </w:tcMar>
          </w:tcPr>
          <w:p>
            <w:pPr>
              <w:keepNext w:val="0"/>
              <w:spacing w:after="0" w:line="250" w:lineRule="auto"/>
            </w:pPr>
            <w:r>
              <w:rPr>
                <w:sz w:val="20"/>
              </w:rPr>
              <w:t>Кто отправил форму с согласием, когда; доказательство получения Компанией</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Экономика</w:t>
            </w:r>
          </w:p>
        </w:tc>
        <w:tc>
          <w:tcPr>
            <w:tcW w:type="dxa" w:w="7632"/>
            <w:vAlign w:val="center"/>
            <w:tcMar>
              <w:top w:w="70" w:type="dxa"/>
              <w:bottom w:w="70" w:type="dxa"/>
              <w:left w:w="100" w:type="dxa"/>
              <w:right w:w="100" w:type="dxa"/>
            </w:tcMar>
          </w:tcPr>
          <w:p>
            <w:pPr>
              <w:keepNext w:val="0"/>
              <w:spacing w:after="0" w:line="250" w:lineRule="auto"/>
            </w:pPr>
            <w:r>
              <w:rPr>
                <w:sz w:val="20"/>
              </w:rPr>
              <w:t>Принятые формула V − A = N, база, ставка комиссии и пример расчёта</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Подписание</w:t>
            </w:r>
          </w:p>
        </w:tc>
        <w:tc>
          <w:tcPr>
            <w:tcW w:type="dxa" w:w="7632"/>
            <w:vAlign w:val="center"/>
            <w:tcMar>
              <w:top w:w="70" w:type="dxa"/>
              <w:bottom w:w="70" w:type="dxa"/>
              <w:left w:w="100" w:type="dxa"/>
              <w:right w:w="100" w:type="dxa"/>
            </w:tcMar>
          </w:tcPr>
          <w:p>
            <w:pPr>
              <w:keepNext w:val="0"/>
              <w:spacing w:after="0" w:line="250" w:lineRule="auto"/>
            </w:pPr>
            <w:r>
              <w:rPr>
                <w:sz w:val="20"/>
              </w:rPr>
              <w:t>Согласованный способ, сведения для проверки</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Допуск к услугам</w:t>
            </w:r>
          </w:p>
        </w:tc>
        <w:tc>
          <w:tcPr>
            <w:tcW w:type="dxa" w:w="7632"/>
            <w:vAlign w:val="center"/>
            <w:tcMar>
              <w:top w:w="70" w:type="dxa"/>
              <w:bottom w:w="70" w:type="dxa"/>
              <w:left w:w="100" w:type="dxa"/>
              <w:right w:w="100" w:type="dxa"/>
            </w:tcMar>
          </w:tcPr>
          <w:p>
            <w:pPr>
              <w:keepNext w:val="0"/>
              <w:spacing w:after="0" w:line="250" w:lineRule="auto"/>
            </w:pPr>
            <w:r>
              <w:rPr>
                <w:sz w:val="20"/>
              </w:rPr>
              <w:t>Дата, ручное/автоматическое одобрение, подтверждение сообщения Партнёру</w:t>
            </w:r>
          </w:p>
        </w:tc>
      </w:tr>
      <w:tr>
        <w:trPr>
          <w:cantSplit/>
        </w:trPr>
        <w:tc>
          <w:tcPr>
            <w:tcW w:type="dxa" w:w="2448"/>
            <w:vAlign w:val="center"/>
            <w:tcMar>
              <w:top w:w="70" w:type="dxa"/>
              <w:bottom w:w="70" w:type="dxa"/>
              <w:left w:w="100" w:type="dxa"/>
              <w:right w:w="100" w:type="dxa"/>
            </w:tcMar>
          </w:tcPr>
          <w:p>
            <w:pPr>
              <w:keepNext w:val="0"/>
              <w:spacing w:after="0" w:line="250" w:lineRule="auto"/>
            </w:pPr>
            <w:r>
              <w:rPr>
                <w:sz w:val="20"/>
              </w:rPr>
              <w:t>Копия Партнёру</w:t>
            </w:r>
          </w:p>
        </w:tc>
        <w:tc>
          <w:tcPr>
            <w:tcW w:type="dxa" w:w="7632"/>
            <w:vAlign w:val="center"/>
            <w:tcMar>
              <w:top w:w="70" w:type="dxa"/>
              <w:bottom w:w="70" w:type="dxa"/>
              <w:left w:w="100" w:type="dxa"/>
              <w:right w:w="100" w:type="dxa"/>
            </w:tcMar>
          </w:tcPr>
          <w:p>
            <w:pPr>
              <w:keepNext w:val="0"/>
              <w:spacing w:after="0" w:line="250" w:lineRule="auto"/>
            </w:pPr>
            <w:r>
              <w:rPr>
                <w:sz w:val="20"/>
              </w:rPr>
              <w:t>Канал предоставления и доказательство доступности/доставки</w:t>
            </w:r>
          </w:p>
        </w:tc>
      </w:tr>
    </w:tbl>
    <w:p>
      <w:pPr>
        <w:spacing w:after="20"/>
      </w:pPr>
    </w:p>
    <w:p>
      <w:pPr>
        <w:pStyle w:val="Heading1"/>
      </w:pPr>
      <w:r>
        <w:t>История подготовки</w:t>
      </w:r>
    </w:p>
    <w:p>
      <w:pPr>
        <w:pStyle w:val="ListBullet"/>
      </w:pPr>
      <w:r>
        <w:t>12.10.2026 — версия 0.3: после проверки внешнего аудита уточнены раздельные подтверждения, цели и основания ПДн, содержание поручения, контроль чеков, самостоятельность партнёра и фиксация рекламных действий. Базовая нетто-модель сохранена.</w:t>
      </w:r>
    </w:p>
    <w:p>
      <w:pPr>
        <w:pStyle w:val="ListBullet"/>
      </w:pPr>
      <w:r>
        <w:t>12.10.2026 — после комментариев владельца унифицированы услуга, НПД/ИП/организации, нетто-модель и расчёты через номинальный счёт. Выбран один базовый акцепт с отдельным допуском; конкретизированы два получателя. Подключение и контрольная выплата подтверждаются при запуске каждой программы.</w:t>
      </w:r>
    </w:p>
    <w:p>
      <w:pPr>
        <w:pStyle w:val="ListBullet"/>
      </w:pPr>
      <w:r>
        <w:t xml:space="preserve">12.10.2026 — подготовлен универсальный проект из правил статьи и материалов оценки программ. Из </w:t>
      </w:r>
      <w:r>
        <w:t>референса TenChat</w:t>
      </w:r>
      <w:r>
        <w:t xml:space="preserve"> использованы отдельное подтверждение присоединения, последовательность приёмки и оплаты, раздельные основания нескольких получателей и корректировки. Чужие ставки, сроки и ограничения статусов не переносились.</w:t>
      </w:r>
    </w:p>
    <w:p>
      <w:r>
        <w:t>Рабочий черновик. Версия указана в метаданных документа. Документ не является действующей публичной офертой до утверждения и публикации. Перед публикацией требуется вычитка практикующим юристом по праву РФ и налоговым консультантом.</w:t>
      </w:r>
    </w:p>
    <w:sectPr w:rsidR="00FC693F" w:rsidRPr="0006063C" w:rsidSect="00034616">
      <w:headerReference w:type="default" r:id="rId9"/>
      <w:footerReference w:type="default" r:id="rId10"/>
      <w:pgSz w:w="12240" w:h="15840"/>
      <w:pgMar w:top="1008" w:right="1080" w:bottom="1008"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8"/>
      </w:rPr>
      <w:t>Проект 0.3 от 12 октября 2026 года</w:t>
    </w:r>
    <w:r>
      <w:rPr>
        <w:sz w:val="18"/>
      </w:rPr>
      <w:t xml:space="preserve">        Страница </w:t>
    </w:r>
    <w:fldSimple w:instr="PAGE"/>
    <w:r>
      <w:rPr>
        <w:sz w:val="18"/>
      </w:rPr>
      <w:t xml:space="preserve"> из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sz w:val="18"/>
      </w:rPr>
      <w:t>RevRoute  |  Шаблон для адаптации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4" w:lineRule="auto"/>
    </w:pPr>
    <w:rPr>
      <w:rFonts w:ascii="Arial" w:hAnsi="Arial"/>
      <w:color w:val="000000"/>
      <w:sz w:val="22"/>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rPr>
  </w:style>
  <w:style w:type="paragraph" w:styleId="Title">
    <w:name w:val="Title"/>
    <w:basedOn w:val="Normal"/>
    <w:next w:val="Normal"/>
    <w:link w:val="TitleChar"/>
    <w:uiPriority w:val="10"/>
    <w:qFormat/>
    <w:rsid w:val="00FC693F"/>
    <w:pPr>
      <w:keepNext/>
      <w:keepLines/>
      <w:spacing w:after="160" w:line="240" w:lineRule="auto" w:before="28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оферты об оказании услуг по привлечению клиентов</dc:title>
  <dc:subject>Для юристов компаний с партнёрскими программами на RevRoute</dc:subject>
  <dc:creator>RevRoute</dc:creator>
  <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